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件</w:t>
      </w:r>
    </w:p>
    <w:p>
      <w:pPr>
        <w:pStyle w:val="2"/>
        <w:rPr>
          <w:rFonts w:hint="eastAsia"/>
          <w:color w:val="000000"/>
          <w:lang w:val="en-US" w:eastAsia="zh-CN"/>
        </w:rPr>
      </w:pPr>
    </w:p>
    <w:p>
      <w:pPr>
        <w:autoSpaceDE w:val="0"/>
        <w:autoSpaceDN w:val="0"/>
        <w:spacing w:line="0" w:lineRule="atLeast"/>
        <w:ind w:left="0"/>
        <w:jc w:val="center"/>
        <w:rPr>
          <w:rFonts w:hint="default" w:eastAsia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河北省</w:t>
      </w:r>
      <w:r>
        <w:rPr>
          <w:rFonts w:eastAsia="方正小标宋_GBK"/>
          <w:color w:val="000000"/>
          <w:sz w:val="44"/>
          <w:szCs w:val="44"/>
        </w:rPr>
        <w:t>劳务派遣单位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信用</w:t>
      </w:r>
      <w:r>
        <w:rPr>
          <w:rFonts w:eastAsia="方正小标宋_GBK"/>
          <w:color w:val="000000"/>
          <w:sz w:val="44"/>
          <w:szCs w:val="44"/>
        </w:rPr>
        <w:t>等级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评价标准</w:t>
      </w:r>
    </w:p>
    <w:bookmarkEnd w:id="0"/>
    <w:p>
      <w:pPr>
        <w:spacing w:after="160" w:afterLines="0" w:line="16" w:lineRule="exact"/>
        <w:ind w:left="0"/>
        <w:rPr>
          <w:color w:val="000000"/>
          <w:sz w:val="21"/>
        </w:rPr>
      </w:pPr>
    </w:p>
    <w:tbl>
      <w:tblPr>
        <w:tblStyle w:val="4"/>
        <w:tblW w:w="14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388"/>
        <w:gridCol w:w="4807"/>
        <w:gridCol w:w="4215"/>
        <w:gridCol w:w="117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jc w:val="center"/>
        </w:trPr>
        <w:tc>
          <w:tcPr>
            <w:tcW w:w="14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企业名称（全称）：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；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统一社会信用代码：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注册地址：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实际经营地址：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发证时间：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满一年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未满一年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；手机号码：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填报人：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职工总数：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　　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textAlignment w:val="auto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其中：自用工人数：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，派遣职工人数：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>　 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，劳务外包人数：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，代理人数：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　　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指标名称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认定标准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自评分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基础项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（60分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经营资质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依法取得有效《劳务派遣经营许可证》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或劳务派遣分公司备案证明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0分）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《劳务派遣行政许可实施办法》第六条：“未经许可，任何单位和个人不得经营劳务派遣业务”。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（91分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（5分）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专门经营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劳务派遣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的，得5分。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单位只开展劳务派遣业务、无其他业务。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91分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人员配备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公司拥有持有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劳动关系协调、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劳动人事争议调解或人力资源资格等证书的专业人员，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每有1名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得1分；最多得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需与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持证人员签订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1年以上期限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劳动合同并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为其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缴纳社会保险费。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经营年限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（4分）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实际经营劳务派遣业务年限每满3年的，得1分，累计最多不超过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连续3年均有业务，中间不得中断。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经营场地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（3分）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经营场所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的核定面积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50㎡以上不满100㎡的，得2分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经营场所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的核定面积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100㎡以上的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得3分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以经营场所的使用面积为准。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设立党的基层组织的，得2分。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有相关党组织的批复并定期开展活动。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依法建立工会组织的，得2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有相关工会组织的批复并定期开展活动。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规章制度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有完善的劳务派遣管理制度，管理制度经职工代表大会或者全体职工讨论，并公示或者告知劳动者的，得2分。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劳务派遣行政许可实施办法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规定的制度，以及涉及职工重大利益的制度等。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信息管理系统并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通过信息管理系统进行管理的，得2分。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办公设备具备信息系统建设的技术支撑。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加分项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91分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职工培训（1分）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建立培训制度，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对被派遣劳动者进行上岗知识、安全教育培训的，得1分。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有培训制度并在评定期内开展培训。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信息公开（1分）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在经营场所显著位置公示劳务派遣经营许可证、营业执照、服务项目、服务收费标准、管理制度、服务流程等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公示资料完整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的，得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一是场所要显著，二是公示内容要符合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劳务派遣行政许可实施办法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有关规定。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获得表彰（30分）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单位或个人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国家级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或通报表扬的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0分；获省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或表扬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的，加20分；获设区市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级以及雄安新区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表彰的，加10分；获县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表彰的，加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以在评定期内印发的相关文件日期为准。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和谐劳动关系建设（30分）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被认定为和谐劳动关系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创建示范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企业，国家级的，加30分；省级的，加20分；市级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及雄安新区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的，加10分；县级的，加5分。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以在评定期内印发的相关文件日期为准。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保障用工需求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（6分）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在评价周期内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组织外省户籍劳动力输入在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稳定就业人数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00人以上不满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00人的，加2分；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00人以上不满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人的，加4分；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人以上的，加6分。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在本单位连续参保缴费3个月以上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减分项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（99分）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评价周期内未正常开展劳务派遣业务的，扣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分；连续两个周期内未正常开展劳务派遣业务的，扣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分；连续三个周期内未正常开展劳务派遣业务的，扣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未正常开展劳务派遣业务的不得评为A级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未按时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报告经营情况的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逾期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未提交经营情况报告或提供虚假报告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的，扣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每年3月31日前未提交且经责令限期提交仍未提交的。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劳动保障监察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因劳动保障违法行为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被依法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作出行政处理或行政处罚的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，每次扣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分，最多扣20分。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以人社部门作出的行政处理或行政处罚为准。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劳动仲裁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10人以上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集体劳动争议案件且败诉（含部分败诉）的，每件扣10分，发生非集体劳动争议案件且败诉（含部分败诉）的，每件扣5分，最多扣20分。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以仲裁机构出具的书面决定为准。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减分项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（99分）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社保稽核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社会保险稽核中发现存在违规行为的，每次扣5分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最多扣10分。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按照基金监督或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社保稽核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部门意见定。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签订劳动合同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（2分）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与被派遣劳动者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劳动合同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率未达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的，扣2分。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对照花名册与劳动合同文本用，或去用工单位抽查。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签订劳务派遣协议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（2分）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与用工单位签订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劳务派遣协议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或者内容不全导致纠纷的，扣2分。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劳务派遣协议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内容未包含规定的13项内容，或未满足实际需要。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违法派遣（30分）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以承揽、外包等名义实施的假外包真派遣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自派遣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派遣非全日制用工，派遣日结工等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情形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，每有一项扣10分，最多扣30分。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查看劳动合同、派遣协议，以及用工形式是否符合劳务派遣情形。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直接评定C级项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虚构劳动关系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通过虚构劳动关系等手段，违法为他人办理参加社会保险手续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缴纳社会保费的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以是否安排工作、是发放工资、是否进入劳动场所、是否接受用工单位管理、是否付出劳动为标准，只要符合其中之一的即为虚假劳动关系。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直接评定C级项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违规截留资金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违规截留或使用专项用于援企稳岗、促进就业及技能培训等专项资金的。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违规截留或使用上述三项专项资金之一的，即可认定。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违法派遣行业或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向专职消防员、煤矿井下、涉密、核心技术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向化工行业、客车驾驶员、危化品货车驾驶员派遣的。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凡存在向上述领域之一派遣的，即可认定。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虚假获证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隐瞒真实情况或提供虚假材料取得《劳务派遣经营许可证》的。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以审批实施部门受理资料的真实性为准。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非法转让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存在涂改、倒卖、出租、出借或者以其他形式非法转让经营劳务派遣业务资质的。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查看其取得的经营许可证。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不良信用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或法人代表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被列为失信执行人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等严重失信主体名单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以社会信用体系主管部门发布的信息为准。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安全生产事故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劳务派遣单位或用工单位在评定期内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发生重大及以上安全生产事故的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以应急管理部门出具的意见或发布的公告为准。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不良社会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影响发生重大及以上安全生产事故的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发生因单位原因引发的劳动关系领域群体性、突发性等事件，造成不良社会影响的。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事件双方构成劳动关系即可认定。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总计得分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jc w:val="center"/>
        </w:trPr>
        <w:tc>
          <w:tcPr>
            <w:tcW w:w="14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（请抄写：本公司所填报信息及相关材料均真实有效，如有虚假，愿接受失信联合惩戒。）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  <w:jc w:val="center"/>
        </w:trPr>
        <w:tc>
          <w:tcPr>
            <w:tcW w:w="140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县（市、区）人社局意见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（盖章）            </w:t>
            </w:r>
          </w:p>
        </w:tc>
      </w:tr>
    </w:tbl>
    <w:p>
      <w:pPr>
        <w:rPr>
          <w:color w:val="000000"/>
        </w:rPr>
      </w:pPr>
    </w:p>
    <w:p/>
    <w:sectPr>
      <w:footerReference r:id="rId3" w:type="default"/>
      <w:pgSz w:w="16838" w:h="11906" w:orient="landscape"/>
      <w:pgMar w:top="1587" w:right="1701" w:bottom="158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205B7EB9"/>
    <w:rsid w:val="205B7EB9"/>
    <w:rsid w:val="3BA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/>
    </w:rPr>
  </w:style>
  <w:style w:type="paragraph" w:customStyle="1" w:styleId="8">
    <w:name w:val="附录图标题"/>
    <w:basedOn w:val="1"/>
    <w:next w:val="7"/>
    <w:qFormat/>
    <w:uiPriority w:val="0"/>
    <w:pPr>
      <w:numPr>
        <w:ilvl w:val="1"/>
        <w:numId w:val="1"/>
      </w:numPr>
      <w:tabs>
        <w:tab w:val="left" w:pos="363"/>
      </w:tabs>
      <w:spacing w:before="156" w:beforeLines="50" w:after="156" w:afterLines="50"/>
      <w:ind w:left="0" w:firstLine="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2023-09-21T06:41:00Z</dcterms:created>
  <dc:creator>闲庭漫步</dc:creator>
  <cp:lastModifiedBy>Administrator</cp:lastModifiedBy>
  <dcterms:modified xsi:type="dcterms:W3CDTF">2023-09-21T08:04:27Z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B55E3AF5B59D4774A242202F33C8FE24_13</vt:lpwstr>
  </property>
</Properties>
</file>