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56459">
      <w:pPr>
        <w:pStyle w:val="4"/>
        <w:rPr>
          <w:rFonts w:ascii="Times New Roman"/>
          <w:sz w:val="20"/>
        </w:rPr>
      </w:pPr>
    </w:p>
    <w:p w14:paraId="45F4A06D">
      <w:pPr>
        <w:pStyle w:val="4"/>
        <w:rPr>
          <w:rFonts w:ascii="Times New Roman"/>
          <w:sz w:val="20"/>
        </w:rPr>
      </w:pPr>
    </w:p>
    <w:p w14:paraId="087BD5FC">
      <w:pPr>
        <w:pStyle w:val="4"/>
        <w:rPr>
          <w:rFonts w:ascii="Times New Roman"/>
          <w:sz w:val="20"/>
        </w:rPr>
      </w:pPr>
    </w:p>
    <w:p w14:paraId="77DE9404">
      <w:pPr>
        <w:pStyle w:val="4"/>
        <w:rPr>
          <w:rFonts w:ascii="Times New Roman"/>
          <w:sz w:val="20"/>
        </w:rPr>
      </w:pPr>
    </w:p>
    <w:p w14:paraId="40CC3420">
      <w:pPr>
        <w:pStyle w:val="4"/>
        <w:rPr>
          <w:rFonts w:ascii="Times New Roman"/>
          <w:sz w:val="20"/>
        </w:rPr>
      </w:pPr>
    </w:p>
    <w:p w14:paraId="0A4D6577">
      <w:pPr>
        <w:pStyle w:val="4"/>
        <w:rPr>
          <w:rFonts w:ascii="Times New Roman"/>
          <w:sz w:val="20"/>
        </w:rPr>
      </w:pPr>
    </w:p>
    <w:p w14:paraId="775F0858">
      <w:pPr>
        <w:pStyle w:val="4"/>
        <w:rPr>
          <w:rFonts w:ascii="Times New Roman"/>
          <w:sz w:val="20"/>
        </w:rPr>
      </w:pPr>
    </w:p>
    <w:p w14:paraId="47698969">
      <w:pPr>
        <w:pStyle w:val="4"/>
        <w:rPr>
          <w:rFonts w:ascii="Times New Roman"/>
          <w:sz w:val="20"/>
        </w:rPr>
      </w:pPr>
    </w:p>
    <w:p w14:paraId="498CE3D8">
      <w:pPr>
        <w:pStyle w:val="4"/>
        <w:rPr>
          <w:rFonts w:ascii="Times New Roman"/>
          <w:sz w:val="20"/>
        </w:rPr>
      </w:pPr>
    </w:p>
    <w:p w14:paraId="4D60145C">
      <w:pPr>
        <w:pStyle w:val="4"/>
        <w:rPr>
          <w:rFonts w:ascii="Times New Roman"/>
          <w:sz w:val="20"/>
        </w:rPr>
      </w:pPr>
    </w:p>
    <w:p w14:paraId="2684AD22">
      <w:pPr>
        <w:pStyle w:val="4"/>
        <w:rPr>
          <w:rFonts w:ascii="Times New Roman"/>
          <w:sz w:val="20"/>
        </w:rPr>
      </w:pPr>
    </w:p>
    <w:p w14:paraId="4666C5D4">
      <w:pPr>
        <w:pStyle w:val="4"/>
        <w:rPr>
          <w:rFonts w:ascii="Times New Roman"/>
          <w:sz w:val="20"/>
        </w:rPr>
      </w:pPr>
    </w:p>
    <w:p w14:paraId="075FD528">
      <w:pPr>
        <w:pStyle w:val="4"/>
        <w:rPr>
          <w:rFonts w:ascii="Times New Roman"/>
          <w:sz w:val="20"/>
        </w:rPr>
      </w:pPr>
    </w:p>
    <w:p w14:paraId="36A2F782">
      <w:pPr>
        <w:pStyle w:val="4"/>
        <w:rPr>
          <w:rFonts w:ascii="Times New Roman"/>
          <w:sz w:val="20"/>
        </w:rPr>
      </w:pPr>
    </w:p>
    <w:p w14:paraId="744C0805">
      <w:pPr>
        <w:pStyle w:val="4"/>
        <w:rPr>
          <w:rFonts w:ascii="Times New Roman"/>
          <w:sz w:val="20"/>
        </w:rPr>
      </w:pPr>
    </w:p>
    <w:p w14:paraId="2D8A7134">
      <w:pPr>
        <w:pStyle w:val="4"/>
        <w:rPr>
          <w:rFonts w:ascii="Times New Roman"/>
          <w:sz w:val="20"/>
        </w:rPr>
      </w:pPr>
    </w:p>
    <w:p w14:paraId="07CF81E4">
      <w:pPr>
        <w:pStyle w:val="4"/>
        <w:rPr>
          <w:rFonts w:ascii="Times New Roman"/>
          <w:sz w:val="20"/>
        </w:rPr>
      </w:pPr>
    </w:p>
    <w:p w14:paraId="3ED480B8">
      <w:pPr>
        <w:pStyle w:val="4"/>
        <w:rPr>
          <w:rFonts w:ascii="Times New Roman"/>
          <w:sz w:val="20"/>
        </w:rPr>
      </w:pPr>
    </w:p>
    <w:p w14:paraId="70598330">
      <w:pPr>
        <w:spacing w:before="66" w:line="1251" w:lineRule="exact"/>
        <w:ind w:left="511"/>
        <w:jc w:val="center"/>
        <w:rPr>
          <w:rFonts w:hint="eastAsia" w:ascii="黑体" w:hAnsi="黑体" w:eastAsia="黑体" w:cs="黑体"/>
          <w:b/>
          <w:sz w:val="72"/>
          <w:szCs w:val="72"/>
          <w:lang w:eastAsia="zh-CN"/>
        </w:rPr>
      </w:pPr>
      <w:r>
        <w:rPr>
          <w:rFonts w:hint="eastAsia" w:ascii="黑体" w:hAnsi="黑体" w:eastAsia="黑体" w:cs="黑体"/>
          <w:b/>
          <w:sz w:val="72"/>
          <w:szCs w:val="72"/>
          <w:lang w:val="en-US" w:eastAsia="zh-CN"/>
        </w:rPr>
        <w:t>唐山市开平区消防救援大队</w:t>
      </w:r>
      <w:r>
        <w:rPr>
          <w:rFonts w:hint="eastAsia" w:ascii="黑体" w:hAnsi="黑体" w:eastAsia="黑体" w:cs="黑体"/>
          <w:b/>
          <w:sz w:val="72"/>
          <w:szCs w:val="72"/>
          <w:lang w:eastAsia="zh-CN"/>
        </w:rPr>
        <w:t xml:space="preserve"> </w:t>
      </w:r>
    </w:p>
    <w:p w14:paraId="2A915FFA">
      <w:pPr>
        <w:spacing w:line="1251" w:lineRule="exact"/>
        <w:ind w:left="513"/>
        <w:jc w:val="center"/>
        <w:rPr>
          <w:rFonts w:ascii="微软雅黑" w:eastAsia="微软雅黑"/>
          <w:b/>
          <w:sz w:val="68"/>
        </w:rPr>
      </w:pPr>
      <w:r>
        <w:rPr>
          <w:rFonts w:hint="eastAsia" w:ascii="黑体" w:hAnsi="黑体" w:eastAsia="黑体" w:cs="黑体"/>
          <w:b/>
          <w:sz w:val="72"/>
          <w:szCs w:val="72"/>
        </w:rPr>
        <w:t>202</w:t>
      </w:r>
      <w:r>
        <w:rPr>
          <w:rFonts w:hint="eastAsia" w:ascii="黑体" w:hAnsi="黑体" w:eastAsia="黑体" w:cs="黑体"/>
          <w:b/>
          <w:sz w:val="72"/>
          <w:szCs w:val="72"/>
          <w:lang w:val="en-US" w:eastAsia="zh-CN"/>
        </w:rPr>
        <w:t>3</w:t>
      </w:r>
      <w:r>
        <w:rPr>
          <w:rFonts w:hint="eastAsia" w:ascii="黑体" w:hAnsi="黑体" w:eastAsia="黑体" w:cs="黑体"/>
          <w:b/>
          <w:sz w:val="72"/>
          <w:szCs w:val="72"/>
        </w:rPr>
        <w:t xml:space="preserve"> 年度部门决算</w:t>
      </w:r>
    </w:p>
    <w:p w14:paraId="2D03A81E">
      <w:pPr>
        <w:pStyle w:val="4"/>
        <w:rPr>
          <w:rFonts w:ascii="微软雅黑"/>
          <w:b/>
          <w:sz w:val="90"/>
        </w:rPr>
      </w:pPr>
    </w:p>
    <w:p w14:paraId="13182529">
      <w:pPr>
        <w:pStyle w:val="4"/>
        <w:spacing w:before="17"/>
        <w:rPr>
          <w:rFonts w:ascii="微软雅黑"/>
          <w:b/>
          <w:sz w:val="111"/>
        </w:rPr>
      </w:pPr>
    </w:p>
    <w:p w14:paraId="7C517E24">
      <w:pPr>
        <w:ind w:left="511"/>
        <w:jc w:val="center"/>
        <w:rPr>
          <w:rFonts w:ascii="微软雅黑" w:eastAsia="微软雅黑"/>
          <w:b/>
          <w:sz w:val="36"/>
        </w:rPr>
      </w:pPr>
      <w:r>
        <w:rPr>
          <w:rFonts w:hint="eastAsia" w:ascii="华文楷体" w:hAnsi="华文楷体" w:eastAsia="华文楷体" w:cstheme="minorBidi"/>
          <w:b/>
          <w:kern w:val="2"/>
          <w:sz w:val="52"/>
          <w:szCs w:val="52"/>
          <w:lang w:val="en-US" w:bidi="ar-SA"/>
        </w:rPr>
        <w:t>二〇二</w:t>
      </w:r>
      <w:r>
        <w:rPr>
          <w:rFonts w:hint="eastAsia" w:ascii="华文楷体" w:hAnsi="华文楷体" w:eastAsia="华文楷体" w:cstheme="minorBidi"/>
          <w:b/>
          <w:kern w:val="2"/>
          <w:sz w:val="52"/>
          <w:szCs w:val="52"/>
          <w:lang w:val="en-US" w:eastAsia="zh-CN" w:bidi="ar-SA"/>
        </w:rPr>
        <w:t>四</w:t>
      </w:r>
      <w:r>
        <w:rPr>
          <w:rFonts w:hint="eastAsia" w:ascii="华文楷体" w:hAnsi="华文楷体" w:eastAsia="华文楷体" w:cstheme="minorBidi"/>
          <w:b/>
          <w:kern w:val="2"/>
          <w:sz w:val="52"/>
          <w:szCs w:val="52"/>
          <w:lang w:val="en-US" w:bidi="ar-SA"/>
        </w:rPr>
        <w:t>年八月</w:t>
      </w:r>
    </w:p>
    <w:p w14:paraId="2DC5C352">
      <w:pPr>
        <w:jc w:val="center"/>
        <w:rPr>
          <w:rFonts w:ascii="微软雅黑" w:eastAsia="微软雅黑"/>
          <w:sz w:val="36"/>
        </w:rPr>
        <w:sectPr>
          <w:footerReference r:id="rId3" w:type="default"/>
          <w:type w:val="continuous"/>
          <w:pgSz w:w="11910" w:h="16840"/>
          <w:pgMar w:top="1580" w:right="0" w:bottom="1080" w:left="0" w:header="720" w:footer="895" w:gutter="0"/>
          <w:pgNumType w:start="1"/>
          <w:cols w:space="720" w:num="1"/>
        </w:sectPr>
      </w:pPr>
    </w:p>
    <w:p w14:paraId="666F8275">
      <w:pPr>
        <w:pStyle w:val="2"/>
        <w:tabs>
          <w:tab w:val="left" w:pos="1814"/>
        </w:tabs>
        <w:spacing w:line="808" w:lineRule="exact"/>
        <w:ind w:left="511"/>
      </w:pPr>
      <w:r>
        <w:rPr>
          <w:rFonts w:hint="eastAsia" w:ascii="黑体" w:hAnsi="黑体" w:eastAsia="黑体" w:cs="黑体"/>
          <w:sz w:val="44"/>
          <w:szCs w:val="44"/>
        </w:rPr>
        <w:t>目</w:t>
      </w:r>
      <w:r>
        <w:rPr>
          <w:rFonts w:hint="eastAsia" w:ascii="黑体" w:hAnsi="黑体" w:eastAsia="黑体" w:cs="黑体"/>
          <w:sz w:val="44"/>
          <w:szCs w:val="44"/>
        </w:rPr>
        <w:tab/>
      </w:r>
      <w:r>
        <w:rPr>
          <w:rFonts w:hint="eastAsia" w:ascii="黑体" w:hAnsi="黑体" w:eastAsia="黑体" w:cs="黑体"/>
          <w:sz w:val="44"/>
          <w:szCs w:val="44"/>
        </w:rPr>
        <w:t>录</w:t>
      </w:r>
    </w:p>
    <w:p w14:paraId="40567F4E">
      <w:pPr>
        <w:pStyle w:val="4"/>
        <w:spacing w:before="11"/>
        <w:rPr>
          <w:rFonts w:ascii="Microsoft JhengHei"/>
          <w:b/>
          <w:sz w:val="35"/>
        </w:rPr>
      </w:pPr>
    </w:p>
    <w:p w14:paraId="2E90F64F">
      <w:pPr>
        <w:tabs>
          <w:tab w:val="left" w:pos="4319"/>
        </w:tabs>
        <w:ind w:left="2520"/>
        <w:rPr>
          <w:rFonts w:hint="eastAsia"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rPr>
        <w:tab/>
      </w:r>
      <w:r>
        <w:rPr>
          <w:rFonts w:hint="eastAsia" w:ascii="黑体" w:hAnsi="黑体" w:eastAsia="黑体" w:cs="黑体"/>
          <w:sz w:val="32"/>
          <w:szCs w:val="32"/>
          <w:lang w:eastAsia="zh-CN"/>
        </w:rPr>
        <w:t>唐山市开平区消防救援大队</w:t>
      </w:r>
      <w:r>
        <w:rPr>
          <w:rFonts w:hint="eastAsia" w:ascii="黑体" w:hAnsi="黑体" w:eastAsia="黑体" w:cs="黑体"/>
          <w:sz w:val="32"/>
          <w:szCs w:val="32"/>
        </w:rPr>
        <w:t>概况</w:t>
      </w:r>
    </w:p>
    <w:p w14:paraId="68746598">
      <w:pPr>
        <w:pStyle w:val="4"/>
        <w:spacing w:before="26" w:line="268" w:lineRule="auto"/>
        <w:ind w:left="2440" w:right="7543"/>
      </w:pPr>
      <w:r>
        <w:rPr>
          <w:rFonts w:hint="eastAsia" w:ascii="仿宋_GB2312" w:hAnsi="仿宋_GB2312" w:eastAsia="仿宋_GB2312" w:cs="仿宋_GB2312"/>
        </w:rPr>
        <w:t>一、部门职责二、机构设置</w:t>
      </w:r>
    </w:p>
    <w:p w14:paraId="667F260B">
      <w:pPr>
        <w:pStyle w:val="4"/>
        <w:spacing w:before="26" w:line="268" w:lineRule="auto"/>
        <w:ind w:left="2440" w:right="7543"/>
      </w:pPr>
    </w:p>
    <w:p w14:paraId="2D995E7B">
      <w:pPr>
        <w:tabs>
          <w:tab w:val="left" w:pos="4319"/>
        </w:tabs>
        <w:spacing w:line="597" w:lineRule="exact"/>
        <w:ind w:left="2520"/>
        <w:rPr>
          <w:rFonts w:hint="eastAsia"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rPr>
        <w:tab/>
      </w:r>
      <w:r>
        <w:rPr>
          <w:rFonts w:hint="eastAsia" w:ascii="黑体" w:hAnsi="黑体" w:eastAsia="黑体" w:cs="黑体"/>
          <w:sz w:val="32"/>
          <w:szCs w:val="32"/>
          <w:lang w:eastAsia="zh-CN"/>
        </w:rPr>
        <w:t>唐山市开平区消防救援大队</w:t>
      </w: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w:t>
      </w:r>
    </w:p>
    <w:p w14:paraId="48AE3645">
      <w:pPr>
        <w:spacing w:line="625" w:lineRule="exact"/>
        <w:ind w:left="1800"/>
        <w:rPr>
          <w:sz w:val="36"/>
        </w:rPr>
      </w:pPr>
      <w:r>
        <w:rPr>
          <w:rFonts w:hint="eastAsia" w:ascii="黑体" w:hAnsi="黑体" w:eastAsia="黑体" w:cs="黑体"/>
          <w:sz w:val="32"/>
          <w:szCs w:val="32"/>
        </w:rPr>
        <w:t>决算表</w:t>
      </w:r>
    </w:p>
    <w:p w14:paraId="6FF0BC42">
      <w:pPr>
        <w:pStyle w:val="4"/>
        <w:spacing w:before="26" w:line="268" w:lineRule="auto"/>
        <w:ind w:left="2440" w:right="6264"/>
        <w:rPr>
          <w:rFonts w:hint="eastAsia" w:ascii="仿宋_GB2312" w:hAnsi="仿宋_GB2312" w:eastAsia="仿宋_GB2312" w:cs="仿宋_GB2312"/>
        </w:rPr>
      </w:pPr>
      <w:r>
        <w:rPr>
          <w:rFonts w:hint="eastAsia" w:ascii="仿宋_GB2312" w:hAnsi="仿宋_GB2312" w:eastAsia="仿宋_GB2312" w:cs="仿宋_GB2312"/>
          <w:spacing w:val="-2"/>
        </w:rPr>
        <w:t>一、收入支出决算总表</w:t>
      </w:r>
      <w:r>
        <w:rPr>
          <w:rFonts w:hint="eastAsia" w:ascii="仿宋_GB2312" w:hAnsi="仿宋_GB2312" w:eastAsia="仿宋_GB2312" w:cs="仿宋_GB2312"/>
        </w:rPr>
        <w:t>二、收入决算表</w:t>
      </w:r>
    </w:p>
    <w:p w14:paraId="2EBAE16D">
      <w:pPr>
        <w:pStyle w:val="4"/>
        <w:spacing w:before="1"/>
        <w:ind w:left="2440"/>
        <w:rPr>
          <w:rFonts w:hint="eastAsia" w:ascii="仿宋_GB2312" w:hAnsi="仿宋_GB2312" w:eastAsia="仿宋_GB2312" w:cs="仿宋_GB2312"/>
        </w:rPr>
      </w:pPr>
      <w:r>
        <w:rPr>
          <w:rFonts w:hint="eastAsia" w:ascii="仿宋_GB2312" w:hAnsi="仿宋_GB2312" w:eastAsia="仿宋_GB2312" w:cs="仿宋_GB2312"/>
          <w:w w:val="95"/>
        </w:rPr>
        <w:t>三、支出决算表</w:t>
      </w:r>
    </w:p>
    <w:p w14:paraId="0D983B57">
      <w:pPr>
        <w:pStyle w:val="4"/>
        <w:spacing w:before="67"/>
        <w:ind w:left="2440"/>
        <w:rPr>
          <w:rFonts w:hint="eastAsia" w:ascii="仿宋_GB2312" w:hAnsi="仿宋_GB2312" w:eastAsia="仿宋_GB2312" w:cs="仿宋_GB2312"/>
        </w:rPr>
      </w:pPr>
      <w:r>
        <w:rPr>
          <w:rFonts w:hint="eastAsia" w:ascii="仿宋_GB2312" w:hAnsi="仿宋_GB2312" w:eastAsia="仿宋_GB2312" w:cs="仿宋_GB2312"/>
        </w:rPr>
        <w:t>四、财政拨款收入支出决算总表</w:t>
      </w:r>
    </w:p>
    <w:p w14:paraId="34C7DAB8">
      <w:pPr>
        <w:pStyle w:val="4"/>
        <w:spacing w:before="67"/>
        <w:ind w:left="2440"/>
        <w:rPr>
          <w:rFonts w:hint="eastAsia" w:ascii="仿宋_GB2312" w:hAnsi="仿宋_GB2312" w:eastAsia="仿宋_GB2312" w:cs="仿宋_GB2312"/>
        </w:rPr>
      </w:pPr>
      <w:r>
        <w:rPr>
          <w:rFonts w:hint="eastAsia" w:ascii="仿宋_GB2312" w:hAnsi="仿宋_GB2312" w:eastAsia="仿宋_GB2312" w:cs="仿宋_GB2312"/>
        </w:rPr>
        <w:t>五、一般公共预算财政拨款支出决算表</w:t>
      </w:r>
    </w:p>
    <w:p w14:paraId="7CB0822A">
      <w:pPr>
        <w:pStyle w:val="4"/>
        <w:spacing w:before="67" w:line="268" w:lineRule="auto"/>
        <w:ind w:left="2440" w:right="2745"/>
        <w:rPr>
          <w:rFonts w:hint="eastAsia" w:ascii="仿宋_GB2312" w:hAnsi="仿宋_GB2312" w:eastAsia="仿宋_GB2312" w:cs="仿宋_GB2312"/>
        </w:rPr>
      </w:pPr>
      <w:r>
        <w:rPr>
          <w:rFonts w:hint="eastAsia" w:ascii="仿宋_GB2312" w:hAnsi="仿宋_GB2312" w:eastAsia="仿宋_GB2312" w:cs="仿宋_GB2312"/>
          <w:spacing w:val="-1"/>
        </w:rPr>
        <w:t>六、一般公共预算财政拨款基本支出决算明细表</w:t>
      </w:r>
      <w:r>
        <w:rPr>
          <w:rFonts w:hint="eastAsia" w:ascii="仿宋_GB2312" w:hAnsi="仿宋_GB2312" w:eastAsia="仿宋_GB2312" w:cs="仿宋_GB2312"/>
        </w:rPr>
        <w:t>七、政府性基金预算财政拨款收入支出决算表 八、国有资本经营预算财政拨款支出决算表</w:t>
      </w:r>
    </w:p>
    <w:p w14:paraId="6ABB5F33">
      <w:pPr>
        <w:pStyle w:val="4"/>
        <w:ind w:left="2440"/>
      </w:pPr>
      <w:r>
        <w:rPr>
          <w:rFonts w:hint="eastAsia" w:ascii="仿宋_GB2312" w:hAnsi="仿宋_GB2312" w:eastAsia="仿宋_GB2312" w:cs="仿宋_GB2312"/>
        </w:rPr>
        <w:t>九、财政拨款“三公”经费支出决算表</w:t>
      </w:r>
    </w:p>
    <w:p w14:paraId="6A68DEF2">
      <w:pPr>
        <w:pStyle w:val="4"/>
        <w:ind w:left="2440"/>
      </w:pPr>
    </w:p>
    <w:p w14:paraId="533991F5">
      <w:pPr>
        <w:spacing w:before="38"/>
        <w:ind w:left="1800" w:right="1284" w:firstLine="720"/>
        <w:rPr>
          <w:sz w:val="36"/>
        </w:rPr>
      </w:pPr>
      <w:r>
        <w:rPr>
          <w:rFonts w:hint="eastAsia" w:ascii="黑体" w:hAnsi="黑体" w:eastAsia="黑体" w:cs="黑体"/>
          <w:sz w:val="32"/>
          <w:szCs w:val="32"/>
        </w:rPr>
        <w:t xml:space="preserve">第三部分 </w:t>
      </w:r>
      <w:r>
        <w:rPr>
          <w:rFonts w:hint="eastAsia" w:ascii="黑体" w:hAnsi="黑体" w:eastAsia="黑体" w:cs="黑体"/>
          <w:sz w:val="32"/>
          <w:szCs w:val="32"/>
          <w:lang w:eastAsia="zh-CN"/>
        </w:rPr>
        <w:t>唐山市开平区消防救援大队</w:t>
      </w: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年度部门决算情况说明</w:t>
      </w:r>
    </w:p>
    <w:p w14:paraId="121BADDE">
      <w:pPr>
        <w:pStyle w:val="4"/>
        <w:spacing w:before="24" w:line="268" w:lineRule="auto"/>
        <w:ind w:left="2440" w:right="4985"/>
        <w:rPr>
          <w:rFonts w:hint="eastAsia" w:ascii="仿宋_GB2312" w:hAnsi="仿宋_GB2312" w:eastAsia="仿宋_GB2312" w:cs="仿宋_GB2312"/>
        </w:rPr>
      </w:pPr>
      <w:r>
        <w:rPr>
          <w:rFonts w:hint="eastAsia" w:ascii="仿宋_GB2312" w:hAnsi="仿宋_GB2312" w:eastAsia="仿宋_GB2312" w:cs="仿宋_GB2312"/>
          <w:spacing w:val="-1"/>
        </w:rPr>
        <w:t>一、收入支出决算总体情况说明</w:t>
      </w:r>
      <w:r>
        <w:rPr>
          <w:rFonts w:hint="eastAsia" w:ascii="仿宋_GB2312" w:hAnsi="仿宋_GB2312" w:eastAsia="仿宋_GB2312" w:cs="仿宋_GB2312"/>
        </w:rPr>
        <w:t>二、收入决算情况说明</w:t>
      </w:r>
    </w:p>
    <w:p w14:paraId="5579DC8A">
      <w:pPr>
        <w:pStyle w:val="4"/>
        <w:ind w:left="2440"/>
      </w:pPr>
      <w:r>
        <w:rPr>
          <w:rFonts w:hint="eastAsia" w:ascii="仿宋_GB2312" w:hAnsi="仿宋_GB2312" w:eastAsia="仿宋_GB2312" w:cs="仿宋_GB2312"/>
          <w:w w:val="95"/>
        </w:rPr>
        <w:t>三、支出决算情况说明</w:t>
      </w:r>
    </w:p>
    <w:p w14:paraId="5CD17911">
      <w:pPr>
        <w:sectPr>
          <w:pgSz w:w="11910" w:h="16840"/>
          <w:pgMar w:top="1520" w:right="0" w:bottom="1160" w:left="0" w:header="0" w:footer="895" w:gutter="0"/>
          <w:cols w:space="720" w:num="1"/>
        </w:sectPr>
      </w:pPr>
    </w:p>
    <w:p w14:paraId="21958227">
      <w:pPr>
        <w:pStyle w:val="4"/>
        <w:spacing w:line="529" w:lineRule="exact"/>
        <w:ind w:left="2440"/>
        <w:rPr>
          <w:rFonts w:hint="eastAsia" w:ascii="仿宋_GB2312" w:hAnsi="仿宋_GB2312" w:eastAsia="仿宋_GB2312" w:cs="仿宋_GB2312"/>
        </w:rPr>
      </w:pPr>
      <w:r>
        <w:rPr>
          <w:rFonts w:hint="eastAsia" w:ascii="仿宋_GB2312" w:hAnsi="仿宋_GB2312" w:eastAsia="仿宋_GB2312" w:cs="仿宋_GB2312"/>
        </w:rPr>
        <w:t>四、财政拨款收入支出决算总体情况说明</w:t>
      </w:r>
    </w:p>
    <w:p w14:paraId="6069A79D">
      <w:pPr>
        <w:pStyle w:val="4"/>
        <w:spacing w:before="67"/>
        <w:ind w:left="2440"/>
        <w:rPr>
          <w:rFonts w:hint="eastAsia" w:ascii="仿宋_GB2312" w:hAnsi="仿宋_GB2312" w:eastAsia="仿宋_GB2312" w:cs="仿宋_GB2312"/>
        </w:rPr>
      </w:pPr>
      <w:r>
        <w:rPr>
          <w:rFonts w:hint="eastAsia" w:ascii="仿宋_GB2312" w:hAnsi="仿宋_GB2312" w:eastAsia="仿宋_GB2312" w:cs="仿宋_GB2312"/>
        </w:rPr>
        <w:t>五、一般公共预算财政拨款支出决算情况说明</w:t>
      </w:r>
    </w:p>
    <w:p w14:paraId="2869321F">
      <w:pPr>
        <w:pStyle w:val="4"/>
        <w:spacing w:before="67" w:line="268" w:lineRule="auto"/>
        <w:ind w:left="2440" w:right="2424"/>
        <w:rPr>
          <w:rFonts w:hint="eastAsia" w:ascii="仿宋_GB2312" w:hAnsi="仿宋_GB2312" w:eastAsia="仿宋_GB2312" w:cs="仿宋_GB2312"/>
        </w:rPr>
      </w:pPr>
      <w:r>
        <w:rPr>
          <w:rFonts w:hint="eastAsia" w:ascii="仿宋_GB2312" w:hAnsi="仿宋_GB2312" w:eastAsia="仿宋_GB2312" w:cs="仿宋_GB2312"/>
        </w:rPr>
        <w:t>六、一般公共预算财政拨款基本支出决算情况说明七、财政拨款“三公”经费支出决算情况说明</w:t>
      </w:r>
    </w:p>
    <w:p w14:paraId="65317B8A">
      <w:pPr>
        <w:pStyle w:val="4"/>
        <w:spacing w:line="268" w:lineRule="auto"/>
        <w:ind w:left="2440" w:right="5625"/>
        <w:rPr>
          <w:rFonts w:hint="eastAsia" w:ascii="仿宋_GB2312" w:hAnsi="仿宋_GB2312" w:eastAsia="仿宋_GB2312" w:cs="仿宋_GB2312"/>
        </w:rPr>
      </w:pPr>
      <w:r>
        <w:rPr>
          <w:rFonts w:hint="eastAsia" w:ascii="仿宋_GB2312" w:hAnsi="仿宋_GB2312" w:eastAsia="仿宋_GB2312" w:cs="仿宋_GB2312"/>
        </w:rPr>
        <w:t>八、机关运行经费支出说明九、政府采购支出说明</w:t>
      </w:r>
    </w:p>
    <w:p w14:paraId="21BCF43D">
      <w:pPr>
        <w:spacing w:line="261" w:lineRule="auto"/>
        <w:ind w:left="2440" w:right="5623"/>
        <w:rPr>
          <w:sz w:val="32"/>
        </w:rPr>
      </w:pPr>
      <w:r>
        <w:rPr>
          <w:rFonts w:hint="eastAsia" w:ascii="仿宋_GB2312" w:hAnsi="仿宋_GB2312" w:eastAsia="仿宋_GB2312" w:cs="仿宋_GB2312"/>
          <w:sz w:val="32"/>
        </w:rPr>
        <w:t>十、国有资产占用情况说明十一、预算绩效情况说明</w:t>
      </w:r>
    </w:p>
    <w:p w14:paraId="39B635CB">
      <w:pPr>
        <w:spacing w:line="261" w:lineRule="auto"/>
        <w:ind w:left="2440" w:right="5623"/>
        <w:rPr>
          <w:sz w:val="32"/>
        </w:rPr>
      </w:pPr>
    </w:p>
    <w:p w14:paraId="686F28DB">
      <w:pPr>
        <w:spacing w:line="261" w:lineRule="auto"/>
        <w:ind w:left="2440" w:right="5623"/>
        <w:rPr>
          <w:sz w:val="36"/>
        </w:rPr>
      </w:pPr>
      <w:r>
        <w:rPr>
          <w:rFonts w:hint="eastAsia" w:ascii="黑体" w:hAnsi="黑体" w:eastAsia="黑体" w:cs="黑体"/>
          <w:sz w:val="32"/>
          <w:szCs w:val="32"/>
        </w:rPr>
        <w:t>第四部分 名词解释</w:t>
      </w:r>
    </w:p>
    <w:p w14:paraId="7D81225D">
      <w:pPr>
        <w:spacing w:line="261" w:lineRule="auto"/>
        <w:rPr>
          <w:sz w:val="36"/>
        </w:rPr>
        <w:sectPr>
          <w:pgSz w:w="11910" w:h="16840"/>
          <w:pgMar w:top="1480" w:right="0" w:bottom="1160" w:left="0" w:header="0" w:footer="895" w:gutter="0"/>
          <w:cols w:space="720" w:num="1"/>
        </w:sectPr>
      </w:pPr>
    </w:p>
    <w:p w14:paraId="6C971428">
      <w:pPr>
        <w:pStyle w:val="4"/>
        <w:rPr>
          <w:rFonts w:ascii="Times New Roman"/>
          <w:sz w:val="20"/>
        </w:rPr>
      </w:pPr>
      <w:r>
        <w:pict>
          <v:rect id="_x0000_s1026" o:spid="_x0000_s1026" o:spt="1" style="position:absolute;left:0pt;margin-left:0pt;margin-top:314.25pt;height:2pt;width:595.25pt;mso-position-horizontal-relative:page;mso-position-vertical-relative:page;z-index:251663360;mso-width-relative:page;mso-height-relative:page;" fillcolor="#385D89" filled="t" stroked="f" coordsize="21600,21600">
            <v:path/>
            <v:fill on="t" focussize="0,0"/>
            <v:stroke on="f"/>
            <v:imagedata o:title=""/>
            <o:lock v:ext="edit"/>
          </v:rect>
        </w:pict>
      </w:r>
      <w:r>
        <w:pict>
          <v:rect id="_x0000_s1027" o:spid="_x0000_s1027" o:spt="1" style="position:absolute;left:0pt;margin-left:0pt;margin-top:466.15pt;height:2pt;width:595.25pt;mso-position-horizontal-relative:page;mso-position-vertical-relative:page;z-index:251664384;mso-width-relative:page;mso-height-relative:page;" fillcolor="#385D89" filled="t" stroked="f" coordsize="21600,21600">
            <v:path/>
            <v:fill on="t" focussize="0,0"/>
            <v:stroke on="f"/>
            <v:imagedata o:title=""/>
            <o:lock v:ext="edit"/>
          </v:rect>
        </w:pict>
      </w:r>
    </w:p>
    <w:p w14:paraId="4BF8EDFE">
      <w:pPr>
        <w:pStyle w:val="4"/>
        <w:rPr>
          <w:rFonts w:ascii="Times New Roman"/>
          <w:sz w:val="20"/>
        </w:rPr>
      </w:pPr>
    </w:p>
    <w:p w14:paraId="09E4A95B">
      <w:pPr>
        <w:pStyle w:val="4"/>
        <w:rPr>
          <w:rFonts w:ascii="Times New Roman"/>
          <w:sz w:val="20"/>
        </w:rPr>
      </w:pPr>
    </w:p>
    <w:p w14:paraId="31ABF637">
      <w:pPr>
        <w:pStyle w:val="4"/>
        <w:rPr>
          <w:rFonts w:ascii="Times New Roman"/>
          <w:sz w:val="20"/>
        </w:rPr>
      </w:pPr>
    </w:p>
    <w:p w14:paraId="17283857">
      <w:pPr>
        <w:pStyle w:val="4"/>
        <w:rPr>
          <w:rFonts w:ascii="Times New Roman"/>
          <w:sz w:val="20"/>
        </w:rPr>
      </w:pPr>
    </w:p>
    <w:p w14:paraId="666D89CA">
      <w:pPr>
        <w:pStyle w:val="4"/>
        <w:rPr>
          <w:rFonts w:ascii="Times New Roman"/>
          <w:sz w:val="20"/>
        </w:rPr>
      </w:pPr>
    </w:p>
    <w:p w14:paraId="042B3533">
      <w:pPr>
        <w:pStyle w:val="4"/>
        <w:rPr>
          <w:rFonts w:ascii="Times New Roman"/>
          <w:sz w:val="20"/>
        </w:rPr>
      </w:pPr>
    </w:p>
    <w:p w14:paraId="0A2BBEE4">
      <w:pPr>
        <w:pStyle w:val="4"/>
        <w:rPr>
          <w:rFonts w:ascii="Times New Roman"/>
          <w:sz w:val="20"/>
        </w:rPr>
      </w:pPr>
    </w:p>
    <w:p w14:paraId="03EE7CAD">
      <w:pPr>
        <w:pStyle w:val="4"/>
        <w:rPr>
          <w:rFonts w:ascii="Times New Roman"/>
          <w:sz w:val="20"/>
        </w:rPr>
      </w:pPr>
    </w:p>
    <w:p w14:paraId="1D391F42">
      <w:pPr>
        <w:pStyle w:val="4"/>
        <w:rPr>
          <w:rFonts w:ascii="Times New Roman"/>
          <w:sz w:val="20"/>
        </w:rPr>
      </w:pPr>
    </w:p>
    <w:p w14:paraId="5AECB9F2">
      <w:pPr>
        <w:pStyle w:val="4"/>
        <w:rPr>
          <w:rFonts w:ascii="Times New Roman"/>
          <w:sz w:val="20"/>
        </w:rPr>
      </w:pPr>
    </w:p>
    <w:p w14:paraId="71725B09">
      <w:pPr>
        <w:pStyle w:val="4"/>
        <w:rPr>
          <w:rFonts w:ascii="Times New Roman"/>
          <w:sz w:val="20"/>
        </w:rPr>
      </w:pPr>
    </w:p>
    <w:p w14:paraId="0A71758D">
      <w:pPr>
        <w:pStyle w:val="4"/>
        <w:rPr>
          <w:rFonts w:ascii="Times New Roman"/>
          <w:sz w:val="20"/>
        </w:rPr>
      </w:pPr>
    </w:p>
    <w:p w14:paraId="12676111">
      <w:pPr>
        <w:pStyle w:val="4"/>
        <w:rPr>
          <w:rFonts w:ascii="Times New Roman"/>
          <w:sz w:val="20"/>
        </w:rPr>
      </w:pPr>
    </w:p>
    <w:p w14:paraId="4E7A4814">
      <w:pPr>
        <w:pStyle w:val="4"/>
        <w:rPr>
          <w:rFonts w:ascii="Times New Roman"/>
          <w:sz w:val="20"/>
        </w:rPr>
      </w:pPr>
    </w:p>
    <w:p w14:paraId="6D3D6EBB">
      <w:pPr>
        <w:pStyle w:val="4"/>
        <w:rPr>
          <w:rFonts w:ascii="Times New Roman"/>
          <w:sz w:val="20"/>
        </w:rPr>
      </w:pPr>
    </w:p>
    <w:p w14:paraId="357D2CD8">
      <w:pPr>
        <w:pStyle w:val="4"/>
        <w:rPr>
          <w:rFonts w:ascii="Times New Roman"/>
          <w:sz w:val="20"/>
        </w:rPr>
      </w:pPr>
    </w:p>
    <w:p w14:paraId="077604EF">
      <w:pPr>
        <w:pStyle w:val="4"/>
        <w:rPr>
          <w:rFonts w:ascii="Times New Roman"/>
          <w:sz w:val="20"/>
        </w:rPr>
      </w:pPr>
    </w:p>
    <w:p w14:paraId="529EFB3D">
      <w:pPr>
        <w:pStyle w:val="4"/>
        <w:rPr>
          <w:rFonts w:ascii="Times New Roman"/>
          <w:sz w:val="20"/>
        </w:rPr>
      </w:pPr>
    </w:p>
    <w:p w14:paraId="1538F3A7">
      <w:pPr>
        <w:pStyle w:val="4"/>
        <w:rPr>
          <w:rFonts w:ascii="Times New Roman"/>
          <w:sz w:val="20"/>
        </w:rPr>
      </w:pPr>
    </w:p>
    <w:p w14:paraId="11F87D79">
      <w:pPr>
        <w:pStyle w:val="4"/>
        <w:spacing w:after="1"/>
        <w:rPr>
          <w:rFonts w:ascii="Times New Roman"/>
          <w:sz w:val="11"/>
        </w:rPr>
      </w:pPr>
    </w:p>
    <w:p w14:paraId="3B1F0553">
      <w:pPr>
        <w:pStyle w:val="4"/>
        <w:ind w:right="-58"/>
        <w:rPr>
          <w:rFonts w:ascii="Times New Roman"/>
          <w:sz w:val="20"/>
        </w:rPr>
      </w:pPr>
      <w:r>
        <w:rPr>
          <w:rFonts w:ascii="Times New Roman"/>
          <w:sz w:val="20"/>
        </w:rPr>
        <w:pict>
          <v:shape id="_x0000_s1043" o:spid="_x0000_s1043" o:spt="202" type="#_x0000_t202" style="height:149.9pt;width:595.3pt;" fillcolor="#94B3D6" filled="t" stroked="f" coordsize="21600,21600">
            <v:path/>
            <v:fill on="t" focussize="0,0"/>
            <v:stroke on="f" joinstyle="miter"/>
            <v:imagedata o:title=""/>
            <o:lock v:ext="edit"/>
            <v:textbox inset="0mm,0mm,0mm,0mm">
              <w:txbxContent>
                <w:p w14:paraId="746163F9">
                  <w:pPr>
                    <w:numPr>
                      <w:ilvl w:val="0"/>
                      <w:numId w:val="1"/>
                    </w:numPr>
                    <w:tabs>
                      <w:tab w:val="left" w:pos="2383"/>
                    </w:tabs>
                    <w:spacing w:before="362"/>
                    <w:ind w:left="36"/>
                    <w:jc w:val="center"/>
                    <w:rPr>
                      <w:rFonts w:hint="eastAsia" w:ascii="Microsoft JhengHei" w:hAnsi="Microsoft JhengHei" w:eastAsia="Microsoft JhengHei" w:cs="Microsoft JhengHei"/>
                      <w:b/>
                      <w:sz w:val="52"/>
                    </w:rPr>
                  </w:pPr>
                  <w:r>
                    <w:rPr>
                      <w:rFonts w:hint="eastAsia" w:ascii="Microsoft JhengHei" w:eastAsia="Microsoft JhengHei"/>
                      <w:b/>
                      <w:sz w:val="52"/>
                    </w:rPr>
                    <w:tab/>
                  </w:r>
                  <w:r>
                    <w:rPr>
                      <w:rFonts w:hint="eastAsia" w:ascii="Microsoft JhengHei" w:hAnsi="Microsoft JhengHei" w:eastAsia="Microsoft JhengHei" w:cs="Microsoft JhengHei"/>
                      <w:b/>
                      <w:sz w:val="52"/>
                      <w:lang w:eastAsia="zh-CN"/>
                    </w:rPr>
                    <w:t>唐山市开平区消防救援大队</w:t>
                  </w:r>
                </w:p>
                <w:p w14:paraId="288F69AB">
                  <w:pPr>
                    <w:tabs>
                      <w:tab w:val="left" w:pos="2383"/>
                    </w:tabs>
                    <w:spacing w:before="362"/>
                    <w:ind w:left="36"/>
                    <w:jc w:val="center"/>
                    <w:rPr>
                      <w:rFonts w:ascii="Microsoft JhengHei" w:eastAsia="Microsoft JhengHei"/>
                      <w:b/>
                      <w:sz w:val="52"/>
                    </w:rPr>
                  </w:pPr>
                  <w:r>
                    <w:rPr>
                      <w:rFonts w:hint="eastAsia" w:ascii="Microsoft JhengHei" w:hAnsi="Microsoft JhengHei" w:eastAsia="Microsoft JhengHei" w:cs="Microsoft JhengHei"/>
                      <w:b/>
                      <w:sz w:val="52"/>
                    </w:rPr>
                    <w:t>概况</w:t>
                  </w:r>
                </w:p>
              </w:txbxContent>
            </v:textbox>
            <w10:wrap type="none"/>
            <w10:anchorlock/>
          </v:shape>
        </w:pict>
      </w:r>
    </w:p>
    <w:p w14:paraId="4A7E15BE">
      <w:pPr>
        <w:rPr>
          <w:rFonts w:ascii="Times New Roman"/>
          <w:sz w:val="20"/>
        </w:rPr>
        <w:sectPr>
          <w:pgSz w:w="11910" w:h="16840"/>
          <w:pgMar w:top="1580" w:right="0" w:bottom="1160" w:left="0" w:header="0" w:footer="895" w:gutter="0"/>
          <w:cols w:space="720" w:num="1"/>
        </w:sectPr>
      </w:pPr>
    </w:p>
    <w:p w14:paraId="3A0E072B">
      <w:pPr>
        <w:pStyle w:val="4"/>
        <w:spacing w:line="532" w:lineRule="exact"/>
        <w:ind w:left="2440"/>
        <w:rPr>
          <w:rFonts w:hint="eastAsia" w:ascii="黑体" w:hAnsi="黑体" w:eastAsia="黑体" w:cs="黑体"/>
        </w:rPr>
      </w:pPr>
      <w:r>
        <w:rPr>
          <w:rFonts w:hint="eastAsia" w:ascii="黑体" w:hAnsi="黑体" w:eastAsia="黑体" w:cs="黑体"/>
        </w:rPr>
        <w:t>一、部门职责</w:t>
      </w:r>
    </w:p>
    <w:p w14:paraId="5620F05B">
      <w:pPr>
        <w:pStyle w:val="4"/>
        <w:spacing w:line="237" w:lineRule="auto"/>
        <w:ind w:left="1800" w:right="1125" w:firstLine="640"/>
        <w:rPr>
          <w:rFonts w:hint="eastAsia" w:ascii="仿宋_GB2312" w:hAnsi="仿宋_GB2312" w:eastAsia="仿宋_GB2312" w:cs="仿宋_GB2312"/>
        </w:rPr>
      </w:pPr>
      <w:r>
        <w:rPr>
          <w:rFonts w:hint="eastAsia" w:ascii="仿宋_GB2312" w:hAnsi="仿宋_GB2312" w:eastAsia="仿宋_GB2312" w:cs="仿宋_GB2312"/>
          <w:spacing w:val="-6"/>
          <w:lang w:eastAsia="zh-CN"/>
        </w:rPr>
        <w:t xml:space="preserve">唐山市开平区消防救援大队 </w:t>
      </w:r>
      <w:r>
        <w:rPr>
          <w:rFonts w:hint="eastAsia" w:ascii="仿宋_GB2312" w:hAnsi="仿宋_GB2312" w:eastAsia="仿宋_GB2312" w:cs="仿宋_GB2312"/>
          <w:spacing w:val="-6"/>
        </w:rPr>
        <w:t>隶属于</w:t>
      </w:r>
      <w:r>
        <w:rPr>
          <w:rFonts w:hint="eastAsia" w:ascii="仿宋_GB2312" w:hAnsi="仿宋_GB2312" w:eastAsia="仿宋_GB2312" w:cs="仿宋_GB2312"/>
          <w:spacing w:val="-6"/>
          <w:lang w:eastAsia="zh-CN"/>
        </w:rPr>
        <w:t>唐山市开平区消防救援大队</w:t>
      </w:r>
      <w:r>
        <w:rPr>
          <w:rFonts w:hint="eastAsia" w:ascii="仿宋_GB2312" w:hAnsi="仿宋_GB2312" w:eastAsia="仿宋_GB2312" w:cs="仿宋_GB2312"/>
          <w:spacing w:val="-6"/>
        </w:rPr>
        <w:t>，是国</w:t>
      </w:r>
      <w:r>
        <w:rPr>
          <w:rFonts w:hint="eastAsia" w:ascii="仿宋_GB2312" w:hAnsi="仿宋_GB2312" w:eastAsia="仿宋_GB2312" w:cs="仿宋_GB2312"/>
          <w:spacing w:val="-15"/>
        </w:rPr>
        <w:t>家综合性消防救援队伍的重要组成，作为应急救援的主力军和国</w:t>
      </w:r>
      <w:r>
        <w:rPr>
          <w:rFonts w:hint="eastAsia" w:ascii="仿宋_GB2312" w:hAnsi="仿宋_GB2312" w:eastAsia="仿宋_GB2312" w:cs="仿宋_GB2312"/>
          <w:spacing w:val="-15"/>
          <w:w w:val="105"/>
        </w:rPr>
        <w:t>家队的一份子，承担</w:t>
      </w:r>
      <w:r>
        <w:rPr>
          <w:rFonts w:hint="eastAsia" w:ascii="仿宋_GB2312" w:hAnsi="仿宋_GB2312" w:eastAsia="仿宋_GB2312" w:cs="仿宋_GB2312"/>
          <w:lang w:eastAsia="zh-CN"/>
        </w:rPr>
        <w:t>“</w:t>
      </w:r>
      <w:r>
        <w:rPr>
          <w:rFonts w:hint="eastAsia" w:ascii="仿宋_GB2312" w:hAnsi="仿宋_GB2312" w:eastAsia="仿宋_GB2312" w:cs="仿宋_GB2312"/>
          <w:w w:val="105"/>
        </w:rPr>
        <w:t>全灾种</w:t>
      </w:r>
      <w:r>
        <w:rPr>
          <w:rFonts w:hint="eastAsia" w:ascii="仿宋_GB2312" w:hAnsi="仿宋_GB2312" w:eastAsia="仿宋_GB2312" w:cs="仿宋_GB2312"/>
          <w:lang w:eastAsia="zh-CN"/>
        </w:rPr>
        <w:t>”</w:t>
      </w:r>
      <w:r>
        <w:rPr>
          <w:rFonts w:hint="eastAsia" w:ascii="仿宋_GB2312" w:hAnsi="仿宋_GB2312" w:eastAsia="仿宋_GB2312" w:cs="仿宋_GB2312"/>
          <w:spacing w:val="-41"/>
          <w:w w:val="105"/>
          <w:lang w:eastAsia="zh-CN"/>
        </w:rPr>
        <w:t>、</w:t>
      </w:r>
      <w:r>
        <w:rPr>
          <w:rFonts w:hint="eastAsia" w:ascii="仿宋_GB2312" w:hAnsi="仿宋_GB2312" w:eastAsia="仿宋_GB2312" w:cs="仿宋_GB2312"/>
          <w:lang w:eastAsia="zh-CN"/>
        </w:rPr>
        <w:t>“</w:t>
      </w:r>
      <w:r>
        <w:rPr>
          <w:rFonts w:hint="eastAsia" w:ascii="仿宋_GB2312" w:hAnsi="仿宋_GB2312" w:eastAsia="仿宋_GB2312" w:cs="仿宋_GB2312"/>
          <w:w w:val="105"/>
        </w:rPr>
        <w:t>大应急</w:t>
      </w:r>
      <w:r>
        <w:rPr>
          <w:rFonts w:hint="eastAsia" w:ascii="仿宋_GB2312" w:hAnsi="仿宋_GB2312" w:eastAsia="仿宋_GB2312" w:cs="仿宋_GB2312"/>
          <w:lang w:eastAsia="zh-CN"/>
        </w:rPr>
        <w:t>”</w:t>
      </w:r>
      <w:r>
        <w:rPr>
          <w:rFonts w:hint="eastAsia" w:ascii="仿宋_GB2312" w:hAnsi="仿宋_GB2312" w:eastAsia="仿宋_GB2312" w:cs="仿宋_GB2312"/>
          <w:spacing w:val="-4"/>
          <w:w w:val="105"/>
        </w:rPr>
        <w:t>救援任务。改革转</w:t>
      </w:r>
      <w:r>
        <w:rPr>
          <w:rFonts w:hint="eastAsia" w:ascii="仿宋_GB2312" w:hAnsi="仿宋_GB2312" w:eastAsia="仿宋_GB2312" w:cs="仿宋_GB2312"/>
          <w:spacing w:val="-14"/>
        </w:rPr>
        <w:t>制以来，全市消防救援队伍认真贯彻落实习近平总书记重要训词精神，着眼我市灾害事故多发频发的基本情况，加快推动队伍建</w:t>
      </w:r>
      <w:r>
        <w:rPr>
          <w:rFonts w:hint="eastAsia" w:ascii="仿宋_GB2312" w:hAnsi="仿宋_GB2312" w:eastAsia="仿宋_GB2312" w:cs="仿宋_GB2312"/>
          <w:spacing w:val="-15"/>
        </w:rPr>
        <w:t>设转型升级，职能任务</w:t>
      </w:r>
      <w:r>
        <w:rPr>
          <w:rFonts w:hint="eastAsia" w:ascii="仿宋_GB2312" w:hAnsi="仿宋_GB2312" w:eastAsia="仿宋_GB2312" w:cs="仿宋_GB2312"/>
        </w:rPr>
        <w:t>掌握火灾信息，分析、研究、预测全市消防安全工作面临的形势，为市政府和各县（市）区提供社会消防管理方面的重要信息量，并提出相应对策、措施；对全市重大火灾及抢险救援事故实施指挥，负责全市灭火训练工作的指导、检查、落实。</w:t>
      </w:r>
    </w:p>
    <w:p w14:paraId="27429119">
      <w:pPr>
        <w:pStyle w:val="4"/>
        <w:spacing w:line="533" w:lineRule="exact"/>
        <w:ind w:left="2438"/>
      </w:pPr>
      <w:r>
        <w:rPr>
          <w:rFonts w:hint="eastAsia" w:ascii="黑体" w:hAnsi="黑体" w:eastAsia="黑体" w:cs="黑体"/>
        </w:rPr>
        <w:t>二、机构设置</w:t>
      </w:r>
    </w:p>
    <w:p w14:paraId="55A3251D">
      <w:pPr>
        <w:pStyle w:val="4"/>
        <w:spacing w:line="247" w:lineRule="auto"/>
        <w:ind w:left="1800" w:right="1286" w:firstLine="640"/>
        <w:jc w:val="both"/>
        <w:rPr>
          <w:rFonts w:hint="eastAsia" w:ascii="仿宋_GB2312" w:hAnsi="仿宋_GB2312" w:eastAsia="仿宋_GB2312" w:cs="仿宋_GB2312"/>
        </w:rPr>
      </w:pPr>
      <w:r>
        <w:rPr>
          <w:rFonts w:hint="eastAsia" w:ascii="仿宋_GB2312" w:hAnsi="仿宋_GB2312" w:eastAsia="仿宋_GB2312" w:cs="仿宋_GB2312"/>
          <w:spacing w:val="-8"/>
          <w:w w:val="95"/>
          <w:lang w:eastAsia="zh-CN"/>
        </w:rPr>
        <w:t xml:space="preserve">唐山市开平区消防救援大队 </w:t>
      </w:r>
      <w:r>
        <w:rPr>
          <w:rFonts w:hint="eastAsia" w:ascii="仿宋_GB2312" w:hAnsi="仿宋_GB2312" w:eastAsia="仿宋_GB2312" w:cs="仿宋_GB2312"/>
          <w:spacing w:val="-8"/>
          <w:w w:val="95"/>
        </w:rPr>
        <w:t xml:space="preserve">决算单位包括：唐山市消防救援支  </w:t>
      </w:r>
      <w:r>
        <w:rPr>
          <w:rFonts w:hint="eastAsia" w:ascii="仿宋_GB2312" w:hAnsi="仿宋_GB2312" w:eastAsia="仿宋_GB2312" w:cs="仿宋_GB2312"/>
          <w:spacing w:val="-8"/>
        </w:rPr>
        <w:t>队</w:t>
      </w:r>
      <w:r>
        <w:rPr>
          <w:rFonts w:hint="eastAsia" w:ascii="仿宋_GB2312" w:hAnsi="仿宋_GB2312" w:eastAsia="仿宋_GB2312" w:cs="仿宋_GB2312"/>
          <w:spacing w:val="-8"/>
          <w:lang w:eastAsia="zh-CN"/>
        </w:rPr>
        <w:t xml:space="preserve"> </w:t>
      </w:r>
      <w:r>
        <w:rPr>
          <w:rFonts w:hint="eastAsia" w:ascii="仿宋_GB2312" w:hAnsi="仿宋_GB2312" w:eastAsia="仿宋_GB2312" w:cs="仿宋_GB2312"/>
          <w:spacing w:val="-8"/>
        </w:rPr>
        <w:t>。</w:t>
      </w:r>
      <w:r>
        <w:rPr>
          <w:rFonts w:hint="eastAsia" w:ascii="仿宋_GB2312" w:hAnsi="仿宋_GB2312" w:eastAsia="仿宋_GB2312" w:cs="仿宋_GB2312"/>
          <w:spacing w:val="-14"/>
        </w:rPr>
        <w:t>纳入</w:t>
      </w:r>
      <w:r>
        <w:rPr>
          <w:rFonts w:hint="eastAsia" w:ascii="仿宋_GB2312" w:hAnsi="仿宋_GB2312" w:eastAsia="仿宋_GB2312" w:cs="仿宋_GB2312"/>
          <w:spacing w:val="-14"/>
          <w:lang w:eastAsia="zh-CN"/>
        </w:rPr>
        <w:t xml:space="preserve">唐山市开平区消防救援大队 </w:t>
      </w:r>
      <w:r>
        <w:rPr>
          <w:rFonts w:hint="eastAsia" w:ascii="仿宋_GB2312" w:hAnsi="仿宋_GB2312" w:eastAsia="仿宋_GB2312" w:cs="仿宋_GB2312"/>
          <w:spacing w:val="-14"/>
        </w:rPr>
        <w:t xml:space="preserve"> </w:t>
      </w: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rPr>
        <w:t xml:space="preserve"> 年度部门决算编制范围的四级决算单位如下：</w:t>
      </w:r>
    </w:p>
    <w:p w14:paraId="2865D395">
      <w:pPr>
        <w:pStyle w:val="4"/>
        <w:rPr>
          <w:rFonts w:ascii="宋体"/>
          <w:sz w:val="20"/>
        </w:rPr>
      </w:pPr>
    </w:p>
    <w:p w14:paraId="272FEFC6">
      <w:pPr>
        <w:pStyle w:val="4"/>
        <w:spacing w:before="11"/>
        <w:rPr>
          <w:rFonts w:ascii="宋体"/>
          <w:sz w:val="13"/>
        </w:rPr>
      </w:pPr>
    </w:p>
    <w:tbl>
      <w:tblPr>
        <w:tblStyle w:val="6"/>
        <w:tblW w:w="0" w:type="auto"/>
        <w:tblInd w:w="18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6"/>
        <w:gridCol w:w="6512"/>
      </w:tblGrid>
      <w:tr w14:paraId="5325C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6" w:type="dxa"/>
          </w:tcPr>
          <w:p w14:paraId="73D9A04D">
            <w:pPr>
              <w:pStyle w:val="10"/>
              <w:ind w:left="866" w:right="859"/>
              <w:rPr>
                <w:rFonts w:ascii="黑体" w:eastAsia="黑体"/>
                <w:sz w:val="32"/>
              </w:rPr>
            </w:pPr>
            <w:r>
              <w:rPr>
                <w:rFonts w:hint="eastAsia" w:ascii="黑体" w:eastAsia="黑体"/>
                <w:sz w:val="32"/>
              </w:rPr>
              <w:t>序号</w:t>
            </w:r>
          </w:p>
        </w:tc>
        <w:tc>
          <w:tcPr>
            <w:tcW w:w="6512" w:type="dxa"/>
          </w:tcPr>
          <w:p w14:paraId="5410EE7F">
            <w:pPr>
              <w:pStyle w:val="10"/>
              <w:ind w:left="1473"/>
              <w:rPr>
                <w:rFonts w:ascii="黑体" w:eastAsia="黑体"/>
                <w:sz w:val="32"/>
              </w:rPr>
            </w:pPr>
            <w:r>
              <w:rPr>
                <w:rFonts w:hint="eastAsia" w:ascii="黑体" w:eastAsia="黑体"/>
                <w:sz w:val="32"/>
              </w:rPr>
              <w:t>四级决算单位名称</w:t>
            </w:r>
          </w:p>
        </w:tc>
      </w:tr>
      <w:tr w14:paraId="5C401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6" w:type="dxa"/>
          </w:tcPr>
          <w:p w14:paraId="3B62CE8F">
            <w:pPr>
              <w:pStyle w:val="10"/>
              <w:ind w:right="0"/>
              <w:rPr>
                <w:sz w:val="32"/>
              </w:rPr>
            </w:pPr>
            <w:r>
              <w:rPr>
                <w:w w:val="99"/>
                <w:sz w:val="32"/>
              </w:rPr>
              <w:t>1</w:t>
            </w:r>
          </w:p>
        </w:tc>
        <w:tc>
          <w:tcPr>
            <w:tcW w:w="6512" w:type="dxa"/>
          </w:tcPr>
          <w:p w14:paraId="36DEA12E">
            <w:pPr>
              <w:pStyle w:val="10"/>
              <w:ind w:left="1476"/>
              <w:rPr>
                <w:rFonts w:hint="eastAsia" w:eastAsia="宋体"/>
                <w:sz w:val="32"/>
                <w:lang w:eastAsia="zh-CN"/>
              </w:rPr>
            </w:pPr>
            <w:r>
              <w:rPr>
                <w:rFonts w:hint="eastAsia"/>
                <w:sz w:val="32"/>
              </w:rPr>
              <w:t>唐山</w:t>
            </w:r>
            <w:r>
              <w:rPr>
                <w:sz w:val="32"/>
              </w:rPr>
              <w:t>市</w:t>
            </w:r>
            <w:r>
              <w:rPr>
                <w:rFonts w:hint="eastAsia"/>
                <w:sz w:val="32"/>
                <w:lang w:eastAsia="zh-CN"/>
              </w:rPr>
              <w:t>开平区消防救援大队</w:t>
            </w:r>
          </w:p>
        </w:tc>
      </w:tr>
    </w:tbl>
    <w:p w14:paraId="0B7295B8">
      <w:pPr>
        <w:rPr>
          <w:sz w:val="32"/>
        </w:rPr>
        <w:sectPr>
          <w:pgSz w:w="11910" w:h="16840"/>
          <w:pgMar w:top="1500" w:right="0" w:bottom="1160" w:left="0" w:header="0" w:footer="895" w:gutter="0"/>
          <w:cols w:space="720" w:num="1"/>
        </w:sectPr>
      </w:pPr>
    </w:p>
    <w:p w14:paraId="7BBE170F">
      <w:pPr>
        <w:pStyle w:val="4"/>
        <w:rPr>
          <w:rFonts w:ascii="Times New Roman"/>
          <w:sz w:val="20"/>
        </w:rPr>
      </w:pPr>
      <w:r>
        <w:pict>
          <v:rect id="_x0000_s1029" o:spid="_x0000_s1029" o:spt="1" style="position:absolute;left:0pt;margin-left:0pt;margin-top:323.6pt;height:2pt;width:595.25pt;mso-position-horizontal-relative:page;mso-position-vertical-relative:page;z-index:251665408;mso-width-relative:page;mso-height-relative:page;" fillcolor="#385D89" filled="t" stroked="f" coordsize="21600,21600">
            <v:path/>
            <v:fill on="t" focussize="0,0"/>
            <v:stroke on="f"/>
            <v:imagedata o:title=""/>
            <o:lock v:ext="edit"/>
          </v:rect>
        </w:pict>
      </w:r>
      <w:r>
        <w:pict>
          <v:rect id="_x0000_s1030" o:spid="_x0000_s1030" o:spt="1" style="position:absolute;left:0pt;margin-left:0pt;margin-top:478.15pt;height:2pt;width:595.25pt;mso-position-horizontal-relative:page;mso-position-vertical-relative:page;z-index:251666432;mso-width-relative:page;mso-height-relative:page;" fillcolor="#385D89" filled="t" stroked="f" coordsize="21600,21600">
            <v:path/>
            <v:fill on="t" focussize="0,0"/>
            <v:stroke on="f"/>
            <v:imagedata o:title=""/>
            <o:lock v:ext="edit"/>
          </v:rect>
        </w:pict>
      </w:r>
    </w:p>
    <w:p w14:paraId="79201188">
      <w:pPr>
        <w:pStyle w:val="4"/>
        <w:rPr>
          <w:rFonts w:ascii="Times New Roman"/>
          <w:sz w:val="20"/>
        </w:rPr>
      </w:pPr>
    </w:p>
    <w:p w14:paraId="6427F6DD">
      <w:pPr>
        <w:pStyle w:val="4"/>
        <w:rPr>
          <w:rFonts w:ascii="Times New Roman"/>
          <w:sz w:val="20"/>
        </w:rPr>
      </w:pPr>
    </w:p>
    <w:p w14:paraId="327C2FC8">
      <w:pPr>
        <w:pStyle w:val="4"/>
        <w:rPr>
          <w:rFonts w:ascii="Times New Roman"/>
          <w:sz w:val="20"/>
        </w:rPr>
      </w:pPr>
    </w:p>
    <w:p w14:paraId="637024BC">
      <w:pPr>
        <w:pStyle w:val="4"/>
        <w:rPr>
          <w:rFonts w:ascii="Times New Roman"/>
          <w:sz w:val="20"/>
        </w:rPr>
      </w:pPr>
    </w:p>
    <w:p w14:paraId="229BE521">
      <w:pPr>
        <w:pStyle w:val="4"/>
        <w:rPr>
          <w:rFonts w:ascii="Times New Roman"/>
          <w:sz w:val="20"/>
        </w:rPr>
      </w:pPr>
    </w:p>
    <w:p w14:paraId="4DBFA877">
      <w:pPr>
        <w:pStyle w:val="4"/>
        <w:rPr>
          <w:rFonts w:ascii="Times New Roman"/>
          <w:sz w:val="20"/>
        </w:rPr>
      </w:pPr>
    </w:p>
    <w:p w14:paraId="6A8AA2C7">
      <w:pPr>
        <w:pStyle w:val="4"/>
        <w:rPr>
          <w:rFonts w:ascii="Times New Roman"/>
          <w:sz w:val="20"/>
        </w:rPr>
      </w:pPr>
    </w:p>
    <w:p w14:paraId="12A75EAF">
      <w:pPr>
        <w:pStyle w:val="4"/>
        <w:rPr>
          <w:rFonts w:ascii="Times New Roman"/>
          <w:sz w:val="20"/>
        </w:rPr>
      </w:pPr>
    </w:p>
    <w:p w14:paraId="4A2DADA2">
      <w:pPr>
        <w:pStyle w:val="4"/>
        <w:rPr>
          <w:rFonts w:ascii="Times New Roman"/>
          <w:sz w:val="20"/>
        </w:rPr>
      </w:pPr>
    </w:p>
    <w:p w14:paraId="4B139AEE">
      <w:pPr>
        <w:pStyle w:val="4"/>
        <w:rPr>
          <w:rFonts w:ascii="Times New Roman"/>
          <w:sz w:val="20"/>
        </w:rPr>
      </w:pPr>
    </w:p>
    <w:p w14:paraId="55977F2D">
      <w:pPr>
        <w:pStyle w:val="4"/>
        <w:rPr>
          <w:rFonts w:ascii="Times New Roman"/>
          <w:sz w:val="20"/>
        </w:rPr>
      </w:pPr>
    </w:p>
    <w:p w14:paraId="5E967635">
      <w:pPr>
        <w:pStyle w:val="4"/>
        <w:rPr>
          <w:rFonts w:ascii="Times New Roman"/>
          <w:sz w:val="20"/>
        </w:rPr>
      </w:pPr>
    </w:p>
    <w:p w14:paraId="54A3E5C1">
      <w:pPr>
        <w:pStyle w:val="4"/>
        <w:rPr>
          <w:rFonts w:ascii="Times New Roman"/>
          <w:sz w:val="20"/>
        </w:rPr>
      </w:pPr>
    </w:p>
    <w:p w14:paraId="2AD50068">
      <w:pPr>
        <w:pStyle w:val="4"/>
        <w:rPr>
          <w:rFonts w:ascii="Times New Roman"/>
          <w:sz w:val="20"/>
        </w:rPr>
      </w:pPr>
    </w:p>
    <w:p w14:paraId="7B26E116">
      <w:pPr>
        <w:pStyle w:val="4"/>
        <w:rPr>
          <w:rFonts w:ascii="Times New Roman"/>
          <w:sz w:val="20"/>
        </w:rPr>
      </w:pPr>
    </w:p>
    <w:p w14:paraId="5629B13F">
      <w:pPr>
        <w:pStyle w:val="4"/>
        <w:rPr>
          <w:rFonts w:ascii="Times New Roman"/>
          <w:sz w:val="20"/>
        </w:rPr>
      </w:pPr>
    </w:p>
    <w:p w14:paraId="7E10C10E">
      <w:pPr>
        <w:pStyle w:val="4"/>
        <w:rPr>
          <w:rFonts w:ascii="Times New Roman"/>
          <w:sz w:val="20"/>
        </w:rPr>
      </w:pPr>
    </w:p>
    <w:p w14:paraId="431CFE07">
      <w:pPr>
        <w:pStyle w:val="4"/>
        <w:rPr>
          <w:rFonts w:ascii="Times New Roman"/>
          <w:sz w:val="20"/>
        </w:rPr>
      </w:pPr>
    </w:p>
    <w:p w14:paraId="132EDBE5">
      <w:pPr>
        <w:pStyle w:val="4"/>
        <w:rPr>
          <w:rFonts w:ascii="Times New Roman"/>
          <w:sz w:val="20"/>
        </w:rPr>
      </w:pPr>
    </w:p>
    <w:p w14:paraId="6AB6C269">
      <w:pPr>
        <w:pStyle w:val="4"/>
        <w:spacing w:before="3" w:after="1"/>
        <w:rPr>
          <w:rFonts w:ascii="Times New Roman"/>
          <w:sz w:val="27"/>
        </w:rPr>
      </w:pPr>
    </w:p>
    <w:p w14:paraId="4872F4D0">
      <w:pPr>
        <w:pStyle w:val="4"/>
        <w:ind w:right="-58"/>
        <w:rPr>
          <w:rFonts w:ascii="Times New Roman"/>
          <w:sz w:val="20"/>
        </w:rPr>
      </w:pPr>
      <w:r>
        <w:rPr>
          <w:rFonts w:ascii="Times New Roman"/>
          <w:sz w:val="20"/>
        </w:rPr>
        <w:pict>
          <v:shape id="_x0000_s1042" o:spid="_x0000_s1042" o:spt="202" type="#_x0000_t202" style="height:152.55pt;width:595.3pt;" fillcolor="#94B3D6" filled="t" stroked="f" coordsize="21600,21600">
            <v:path/>
            <v:fill on="t" focussize="0,0"/>
            <v:stroke on="f" joinstyle="miter"/>
            <v:imagedata o:title=""/>
            <o:lock v:ext="edit"/>
            <v:textbox inset="0mm,0mm,0mm,0mm">
              <w:txbxContent>
                <w:p w14:paraId="3CE6148E">
                  <w:pPr>
                    <w:tabs>
                      <w:tab w:val="left" w:pos="3420"/>
                    </w:tabs>
                    <w:spacing w:before="21" w:line="947" w:lineRule="exact"/>
                    <w:ind w:left="1070"/>
                    <w:jc w:val="center"/>
                    <w:rPr>
                      <w:rFonts w:ascii="Microsoft JhengHei" w:eastAsia="Microsoft JhengHei"/>
                      <w:b/>
                      <w:sz w:val="52"/>
                    </w:rPr>
                  </w:pPr>
                  <w:r>
                    <w:rPr>
                      <w:rFonts w:hint="eastAsia" w:ascii="Microsoft JhengHei" w:eastAsia="Microsoft JhengHei"/>
                      <w:b/>
                      <w:sz w:val="52"/>
                    </w:rPr>
                    <w:t>第二部分</w:t>
                  </w:r>
                  <w:r>
                    <w:rPr>
                      <w:rFonts w:hint="eastAsia" w:ascii="Microsoft JhengHei" w:eastAsia="Microsoft JhengHei"/>
                      <w:b/>
                      <w:sz w:val="52"/>
                    </w:rPr>
                    <w:tab/>
                  </w:r>
                  <w:r>
                    <w:rPr>
                      <w:rFonts w:hint="eastAsia" w:ascii="Microsoft JhengHei" w:hAnsi="Microsoft JhengHei" w:eastAsia="Microsoft JhengHei" w:cs="Microsoft JhengHei"/>
                      <w:b/>
                      <w:sz w:val="52"/>
                      <w:lang w:val="en-US"/>
                    </w:rPr>
                    <w:t>唐山</w:t>
                  </w:r>
                  <w:r>
                    <w:rPr>
                      <w:rFonts w:hint="eastAsia" w:ascii="Microsoft JhengHei" w:hAnsi="Microsoft JhengHei" w:eastAsia="Microsoft JhengHei" w:cs="Microsoft JhengHei"/>
                      <w:b/>
                      <w:sz w:val="52"/>
                      <w:lang w:val="en-US" w:eastAsia="zh-CN"/>
                    </w:rPr>
                    <w:t>市开平区消防救援大队</w:t>
                  </w:r>
                  <w:r>
                    <w:rPr>
                      <w:rFonts w:ascii="Times New Roman" w:eastAsia="Times New Roman"/>
                      <w:b/>
                      <w:sz w:val="52"/>
                    </w:rPr>
                    <w:t>202</w:t>
                  </w:r>
                  <w:r>
                    <w:rPr>
                      <w:rFonts w:hint="eastAsia" w:ascii="Times New Roman" w:eastAsia="宋体"/>
                      <w:b/>
                      <w:sz w:val="52"/>
                      <w:lang w:val="en-US" w:eastAsia="zh-CN"/>
                    </w:rPr>
                    <w:t>3</w:t>
                  </w:r>
                  <w:r>
                    <w:rPr>
                      <w:rFonts w:ascii="Times New Roman" w:eastAsia="Times New Roman"/>
                      <w:b/>
                      <w:sz w:val="52"/>
                    </w:rPr>
                    <w:t xml:space="preserve"> </w:t>
                  </w:r>
                  <w:r>
                    <w:rPr>
                      <w:rFonts w:hint="eastAsia" w:ascii="Microsoft JhengHei" w:eastAsia="Microsoft JhengHei"/>
                      <w:b/>
                      <w:sz w:val="52"/>
                    </w:rPr>
                    <w:t>年度部门决算表</w:t>
                  </w:r>
                </w:p>
                <w:p w14:paraId="4B070ED8">
                  <w:pPr>
                    <w:spacing w:line="947" w:lineRule="exact"/>
                    <w:ind w:left="1073"/>
                    <w:jc w:val="center"/>
                    <w:rPr>
                      <w:rFonts w:ascii="Microsoft JhengHei" w:eastAsia="Microsoft JhengHei"/>
                      <w:b/>
                      <w:sz w:val="52"/>
                    </w:rPr>
                  </w:pPr>
                </w:p>
              </w:txbxContent>
            </v:textbox>
            <w10:wrap type="none"/>
            <w10:anchorlock/>
          </v:shape>
        </w:pict>
      </w:r>
    </w:p>
    <w:p w14:paraId="0ACDBA45">
      <w:pPr>
        <w:rPr>
          <w:rFonts w:ascii="Times New Roman"/>
          <w:sz w:val="20"/>
        </w:rPr>
        <w:sectPr>
          <w:pgSz w:w="11910" w:h="16840"/>
          <w:pgMar w:top="1580" w:right="0" w:bottom="1160" w:left="0" w:header="0" w:footer="895" w:gutter="0"/>
          <w:cols w:space="720" w:num="1"/>
        </w:sectPr>
      </w:pPr>
    </w:p>
    <w:p w14:paraId="3A71A245">
      <w:pPr>
        <w:pStyle w:val="4"/>
        <w:jc w:val="center"/>
      </w:pPr>
    </w:p>
    <w:p w14:paraId="54D084F1">
      <w:pPr>
        <w:pStyle w:val="4"/>
        <w:rPr>
          <w:rFonts w:hint="eastAsia" w:eastAsia="Arial Unicode MS"/>
          <w:lang w:eastAsia="zh-CN"/>
        </w:rPr>
        <w:sectPr>
          <w:pgSz w:w="11910" w:h="16840"/>
          <w:pgMar w:top="1560" w:right="0" w:bottom="1080" w:left="0" w:header="0" w:footer="895" w:gutter="0"/>
          <w:cols w:space="720" w:num="1"/>
        </w:sectPr>
      </w:pPr>
      <w:r>
        <w:rPr>
          <w:rFonts w:hint="eastAsia" w:eastAsia="Arial Unicode MS"/>
          <w:lang w:eastAsia="zh-CN"/>
        </w:rPr>
        <w:drawing>
          <wp:inline distT="0" distB="0" distL="114300" distR="114300">
            <wp:extent cx="7560945" cy="5683250"/>
            <wp:effectExtent l="0" t="0" r="1905" b="12700"/>
            <wp:docPr id="6" name="图片 6" descr="32ec89aed2def7f9e60e715a15188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2ec89aed2def7f9e60e715a15188a3"/>
                    <pic:cNvPicPr>
                      <a:picLocks noChangeAspect="1"/>
                    </pic:cNvPicPr>
                  </pic:nvPicPr>
                  <pic:blipFill>
                    <a:blip r:embed="rId7"/>
                    <a:stretch>
                      <a:fillRect/>
                    </a:stretch>
                  </pic:blipFill>
                  <pic:spPr>
                    <a:xfrm>
                      <a:off x="0" y="0"/>
                      <a:ext cx="7560945" cy="5683250"/>
                    </a:xfrm>
                    <a:prstGeom prst="rect">
                      <a:avLst/>
                    </a:prstGeom>
                  </pic:spPr>
                </pic:pic>
              </a:graphicData>
            </a:graphic>
          </wp:inline>
        </w:drawing>
      </w:r>
    </w:p>
    <w:p w14:paraId="1E472518">
      <w:pPr>
        <w:pStyle w:val="4"/>
        <w:ind w:left="1800"/>
        <w:jc w:val="left"/>
        <w:rPr>
          <w:rFonts w:hint="eastAsia" w:ascii="Times New Roman" w:eastAsia="Arial Unicode MS"/>
          <w:sz w:val="20"/>
          <w:lang w:eastAsia="zh-CN"/>
        </w:rPr>
        <w:sectPr>
          <w:pgSz w:w="11910" w:h="16840"/>
          <w:pgMar w:top="1580" w:right="0" w:bottom="1080" w:left="0" w:header="0" w:footer="895" w:gutter="0"/>
          <w:cols w:space="720" w:num="1"/>
        </w:sectPr>
      </w:pPr>
      <w:r>
        <w:rPr>
          <w:rFonts w:hint="eastAsia" w:ascii="Times New Roman" w:eastAsia="Arial Unicode MS"/>
          <w:sz w:val="20"/>
          <w:lang w:eastAsia="zh-CN"/>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0</wp:posOffset>
            </wp:positionV>
            <wp:extent cx="7548880" cy="1303020"/>
            <wp:effectExtent l="0" t="0" r="13970" b="11430"/>
            <wp:wrapTopAndBottom/>
            <wp:docPr id="10" name="图片 10" descr="172949645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29496453002"/>
                    <pic:cNvPicPr>
                      <a:picLocks noChangeAspect="1"/>
                    </pic:cNvPicPr>
                  </pic:nvPicPr>
                  <pic:blipFill>
                    <a:blip r:embed="rId8"/>
                    <a:stretch>
                      <a:fillRect/>
                    </a:stretch>
                  </pic:blipFill>
                  <pic:spPr>
                    <a:xfrm>
                      <a:off x="0" y="0"/>
                      <a:ext cx="7548880" cy="1303020"/>
                    </a:xfrm>
                    <a:prstGeom prst="rect">
                      <a:avLst/>
                    </a:prstGeom>
                  </pic:spPr>
                </pic:pic>
              </a:graphicData>
            </a:graphic>
          </wp:anchor>
        </w:drawing>
      </w:r>
    </w:p>
    <w:p w14:paraId="7978B6D1">
      <w:pPr>
        <w:pStyle w:val="4"/>
        <w:ind w:left="1800"/>
        <w:rPr>
          <w:rFonts w:hint="eastAsia" w:ascii="Times New Roman" w:eastAsia="Arial Unicode MS"/>
          <w:sz w:val="20"/>
          <w:lang w:eastAsia="zh-CN"/>
        </w:rPr>
        <w:sectPr>
          <w:pgSz w:w="11910" w:h="16840"/>
          <w:pgMar w:top="1500" w:right="0" w:bottom="1080" w:left="0" w:header="0" w:footer="895" w:gutter="0"/>
          <w:cols w:space="720" w:num="1"/>
        </w:sectPr>
      </w:pPr>
      <w:r>
        <w:rPr>
          <w:rFonts w:hint="eastAsia" w:ascii="Times New Roman" w:eastAsia="Arial Unicode MS"/>
          <w:sz w:val="20"/>
          <w:lang w:eastAsia="zh-CN"/>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0</wp:posOffset>
            </wp:positionV>
            <wp:extent cx="7562215" cy="1407160"/>
            <wp:effectExtent l="0" t="0" r="635" b="2540"/>
            <wp:wrapTopAndBottom/>
            <wp:docPr id="8" name="图片 8" descr="12e58605ed4c93b72ade98ea8684e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e58605ed4c93b72ade98ea8684ee5"/>
                    <pic:cNvPicPr>
                      <a:picLocks noChangeAspect="1"/>
                    </pic:cNvPicPr>
                  </pic:nvPicPr>
                  <pic:blipFill>
                    <a:blip r:embed="rId9"/>
                    <a:stretch>
                      <a:fillRect/>
                    </a:stretch>
                  </pic:blipFill>
                  <pic:spPr>
                    <a:xfrm>
                      <a:off x="0" y="0"/>
                      <a:ext cx="7562215" cy="1407160"/>
                    </a:xfrm>
                    <a:prstGeom prst="rect">
                      <a:avLst/>
                    </a:prstGeom>
                  </pic:spPr>
                </pic:pic>
              </a:graphicData>
            </a:graphic>
          </wp:anchor>
        </w:drawing>
      </w:r>
    </w:p>
    <w:p w14:paraId="5FAA9E2C">
      <w:pPr>
        <w:pStyle w:val="4"/>
        <w:ind w:left="1891"/>
        <w:rPr>
          <w:rFonts w:hint="eastAsia" w:ascii="Times New Roman" w:eastAsia="Arial Unicode MS"/>
          <w:sz w:val="20"/>
          <w:lang w:eastAsia="zh-CN"/>
        </w:rPr>
        <w:sectPr>
          <w:footerReference r:id="rId4" w:type="default"/>
          <w:pgSz w:w="11910" w:h="16840"/>
          <w:pgMar w:top="1540" w:right="0" w:bottom="1080" w:left="0" w:header="0" w:footer="895" w:gutter="0"/>
          <w:pgNumType w:start="10"/>
          <w:cols w:space="720" w:num="1"/>
        </w:sectPr>
      </w:pPr>
      <w:r>
        <w:rPr>
          <w:rFonts w:hint="eastAsia" w:ascii="Times New Roman" w:eastAsia="Arial Unicode MS"/>
          <w:sz w:val="20"/>
          <w:lang w:eastAsia="zh-CN"/>
        </w:rPr>
        <w:drawing>
          <wp:anchor distT="0" distB="0" distL="114300" distR="114300" simplePos="0" relativeHeight="251673600" behindDoc="0" locked="0" layoutInCell="1" allowOverlap="1">
            <wp:simplePos x="0" y="0"/>
            <wp:positionH relativeFrom="column">
              <wp:posOffset>1200785</wp:posOffset>
            </wp:positionH>
            <wp:positionV relativeFrom="paragraph">
              <wp:posOffset>0</wp:posOffset>
            </wp:positionV>
            <wp:extent cx="7555865" cy="3951605"/>
            <wp:effectExtent l="0" t="0" r="6985" b="10795"/>
            <wp:wrapTopAndBottom/>
            <wp:docPr id="11" name="图片 11" descr="1729496526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29496526266"/>
                    <pic:cNvPicPr>
                      <a:picLocks noChangeAspect="1"/>
                    </pic:cNvPicPr>
                  </pic:nvPicPr>
                  <pic:blipFill>
                    <a:blip r:embed="rId10"/>
                    <a:stretch>
                      <a:fillRect/>
                    </a:stretch>
                  </pic:blipFill>
                  <pic:spPr>
                    <a:xfrm>
                      <a:off x="0" y="0"/>
                      <a:ext cx="7555865" cy="3951605"/>
                    </a:xfrm>
                    <a:prstGeom prst="rect">
                      <a:avLst/>
                    </a:prstGeom>
                  </pic:spPr>
                </pic:pic>
              </a:graphicData>
            </a:graphic>
          </wp:anchor>
        </w:drawing>
      </w:r>
    </w:p>
    <w:p w14:paraId="464D1832">
      <w:pPr>
        <w:pStyle w:val="4"/>
        <w:ind w:left="1852"/>
        <w:rPr>
          <w:rFonts w:hint="eastAsia" w:ascii="Times New Roman" w:eastAsia="Arial Unicode MS"/>
          <w:sz w:val="20"/>
          <w:lang w:eastAsia="zh-CN"/>
        </w:rPr>
        <w:sectPr>
          <w:pgSz w:w="11910" w:h="16840"/>
          <w:pgMar w:top="1460" w:right="0" w:bottom="1080" w:left="0" w:header="0" w:footer="895" w:gutter="0"/>
          <w:cols w:space="720" w:num="1"/>
        </w:sectPr>
      </w:pPr>
      <w:r>
        <w:rPr>
          <w:rFonts w:hint="eastAsia" w:ascii="Times New Roman" w:eastAsia="Arial Unicode MS"/>
          <w:sz w:val="20"/>
          <w:lang w:eastAsia="zh-CN"/>
        </w:rPr>
        <w:drawing>
          <wp:anchor distT="0" distB="0" distL="114300" distR="114300" simplePos="0" relativeHeight="251674624" behindDoc="0" locked="0" layoutInCell="1" allowOverlap="1">
            <wp:simplePos x="0" y="0"/>
            <wp:positionH relativeFrom="column">
              <wp:posOffset>1176020</wp:posOffset>
            </wp:positionH>
            <wp:positionV relativeFrom="paragraph">
              <wp:posOffset>0</wp:posOffset>
            </wp:positionV>
            <wp:extent cx="7555230" cy="1930400"/>
            <wp:effectExtent l="0" t="0" r="7620" b="12700"/>
            <wp:wrapTopAndBottom/>
            <wp:docPr id="12" name="图片 12" descr="9e33b787e28be6f8336af2c426bc3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e33b787e28be6f8336af2c426bc3ca"/>
                    <pic:cNvPicPr>
                      <a:picLocks noChangeAspect="1"/>
                    </pic:cNvPicPr>
                  </pic:nvPicPr>
                  <pic:blipFill>
                    <a:blip r:embed="rId11"/>
                    <a:stretch>
                      <a:fillRect/>
                    </a:stretch>
                  </pic:blipFill>
                  <pic:spPr>
                    <a:xfrm>
                      <a:off x="0" y="0"/>
                      <a:ext cx="7555230" cy="1930400"/>
                    </a:xfrm>
                    <a:prstGeom prst="rect">
                      <a:avLst/>
                    </a:prstGeom>
                  </pic:spPr>
                </pic:pic>
              </a:graphicData>
            </a:graphic>
          </wp:anchor>
        </w:drawing>
      </w:r>
    </w:p>
    <w:p w14:paraId="5300F5E6">
      <w:pPr>
        <w:pStyle w:val="4"/>
        <w:ind w:left="1860"/>
        <w:rPr>
          <w:rFonts w:hint="eastAsia" w:ascii="Times New Roman" w:eastAsia="Arial Unicode MS"/>
          <w:sz w:val="20"/>
          <w:lang w:eastAsia="zh-CN"/>
        </w:rPr>
        <w:sectPr>
          <w:pgSz w:w="11910" w:h="16840"/>
          <w:pgMar w:top="1480" w:right="0" w:bottom="1080" w:left="0" w:header="0" w:footer="895" w:gutter="0"/>
          <w:cols w:space="720" w:num="1"/>
        </w:sectPr>
      </w:pPr>
      <w:r>
        <w:rPr>
          <w:rFonts w:hint="eastAsia" w:ascii="Times New Roman" w:eastAsia="Arial Unicode MS"/>
          <w:sz w:val="20"/>
          <w:lang w:eastAsia="zh-CN"/>
        </w:rPr>
        <w:drawing>
          <wp:anchor distT="0" distB="0" distL="114300" distR="114300" simplePos="0" relativeHeight="251675648" behindDoc="0" locked="0" layoutInCell="1" allowOverlap="1">
            <wp:simplePos x="0" y="0"/>
            <wp:positionH relativeFrom="column">
              <wp:posOffset>1181100</wp:posOffset>
            </wp:positionH>
            <wp:positionV relativeFrom="paragraph">
              <wp:posOffset>0</wp:posOffset>
            </wp:positionV>
            <wp:extent cx="7549515" cy="3275965"/>
            <wp:effectExtent l="0" t="0" r="13335" b="635"/>
            <wp:wrapTopAndBottom/>
            <wp:docPr id="13" name="图片 13" descr="172949894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29498941978"/>
                    <pic:cNvPicPr>
                      <a:picLocks noChangeAspect="1"/>
                    </pic:cNvPicPr>
                  </pic:nvPicPr>
                  <pic:blipFill>
                    <a:blip r:embed="rId12"/>
                    <a:stretch>
                      <a:fillRect/>
                    </a:stretch>
                  </pic:blipFill>
                  <pic:spPr>
                    <a:xfrm>
                      <a:off x="0" y="0"/>
                      <a:ext cx="7549515" cy="3275965"/>
                    </a:xfrm>
                    <a:prstGeom prst="rect">
                      <a:avLst/>
                    </a:prstGeom>
                  </pic:spPr>
                </pic:pic>
              </a:graphicData>
            </a:graphic>
          </wp:anchor>
        </w:drawing>
      </w:r>
    </w:p>
    <w:p w14:paraId="1ECF71EA">
      <w:pPr>
        <w:pStyle w:val="4"/>
        <w:ind w:left="1991"/>
        <w:rPr>
          <w:rFonts w:ascii="Times New Roman"/>
          <w:sz w:val="20"/>
        </w:rPr>
      </w:pPr>
    </w:p>
    <w:p w14:paraId="5228E6F9">
      <w:pPr>
        <w:jc w:val="center"/>
        <w:rPr>
          <w:rFonts w:hint="eastAsia" w:ascii="Times New Roman" w:eastAsia="Arial Unicode MS"/>
          <w:sz w:val="20"/>
          <w:lang w:eastAsia="zh-CN"/>
        </w:rPr>
        <w:sectPr>
          <w:pgSz w:w="11910" w:h="16840"/>
          <w:pgMar w:top="1460" w:right="0" w:bottom="1080" w:left="0" w:header="0" w:footer="895" w:gutter="0"/>
          <w:cols w:space="720" w:num="1"/>
        </w:sectPr>
      </w:pPr>
      <w:r>
        <w:rPr>
          <w:rFonts w:hint="eastAsia" w:ascii="Times New Roman" w:eastAsia="Arial Unicode MS"/>
          <w:sz w:val="20"/>
          <w:lang w:eastAsia="zh-CN"/>
        </w:rPr>
        <w:drawing>
          <wp:inline distT="0" distB="0" distL="114300" distR="114300">
            <wp:extent cx="7558405" cy="1169670"/>
            <wp:effectExtent l="0" t="0" r="4445" b="11430"/>
            <wp:docPr id="14" name="图片 14" descr="172949898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29498989835"/>
                    <pic:cNvPicPr>
                      <a:picLocks noChangeAspect="1"/>
                    </pic:cNvPicPr>
                  </pic:nvPicPr>
                  <pic:blipFill>
                    <a:blip r:embed="rId13"/>
                    <a:stretch>
                      <a:fillRect/>
                    </a:stretch>
                  </pic:blipFill>
                  <pic:spPr>
                    <a:xfrm>
                      <a:off x="0" y="0"/>
                      <a:ext cx="7558405" cy="1169670"/>
                    </a:xfrm>
                    <a:prstGeom prst="rect">
                      <a:avLst/>
                    </a:prstGeom>
                  </pic:spPr>
                </pic:pic>
              </a:graphicData>
            </a:graphic>
          </wp:inline>
        </w:drawing>
      </w:r>
    </w:p>
    <w:p w14:paraId="6E3E4297">
      <w:pPr>
        <w:pStyle w:val="4"/>
        <w:spacing w:before="6"/>
        <w:rPr>
          <w:rFonts w:ascii="Times New Roman"/>
          <w:sz w:val="3"/>
        </w:rPr>
      </w:pPr>
    </w:p>
    <w:p w14:paraId="0F73198E">
      <w:pPr>
        <w:pStyle w:val="4"/>
        <w:ind w:left="1996"/>
        <w:rPr>
          <w:rFonts w:hint="eastAsia" w:ascii="Times New Roman" w:eastAsia="Arial Unicode MS"/>
          <w:sz w:val="20"/>
          <w:lang w:eastAsia="zh-CN"/>
        </w:rPr>
        <w:sectPr>
          <w:pgSz w:w="11910" w:h="16840"/>
          <w:pgMar w:top="1580" w:right="0" w:bottom="1080" w:left="0" w:header="0" w:footer="895" w:gutter="0"/>
          <w:cols w:space="720" w:num="1"/>
        </w:sectPr>
      </w:pPr>
      <w:r>
        <w:rPr>
          <w:rFonts w:hint="eastAsia" w:ascii="Times New Roman" w:eastAsia="Arial Unicode MS"/>
          <w:sz w:val="20"/>
          <w:lang w:eastAsia="zh-CN"/>
        </w:rPr>
        <w:drawing>
          <wp:anchor distT="0" distB="0" distL="114300" distR="114300" simplePos="0" relativeHeight="251676672" behindDoc="0" locked="0" layoutInCell="1" allowOverlap="1">
            <wp:simplePos x="0" y="0"/>
            <wp:positionH relativeFrom="column">
              <wp:posOffset>1267460</wp:posOffset>
            </wp:positionH>
            <wp:positionV relativeFrom="paragraph">
              <wp:posOffset>0</wp:posOffset>
            </wp:positionV>
            <wp:extent cx="7555230" cy="1934210"/>
            <wp:effectExtent l="0" t="0" r="7620" b="8890"/>
            <wp:wrapTopAndBottom/>
            <wp:docPr id="15" name="图片 15" descr="172949903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29499031372"/>
                    <pic:cNvPicPr>
                      <a:picLocks noChangeAspect="1"/>
                    </pic:cNvPicPr>
                  </pic:nvPicPr>
                  <pic:blipFill>
                    <a:blip r:embed="rId14"/>
                    <a:stretch>
                      <a:fillRect/>
                    </a:stretch>
                  </pic:blipFill>
                  <pic:spPr>
                    <a:xfrm>
                      <a:off x="0" y="0"/>
                      <a:ext cx="7555230" cy="1934210"/>
                    </a:xfrm>
                    <a:prstGeom prst="rect">
                      <a:avLst/>
                    </a:prstGeom>
                  </pic:spPr>
                </pic:pic>
              </a:graphicData>
            </a:graphic>
          </wp:anchor>
        </w:drawing>
      </w:r>
    </w:p>
    <w:p w14:paraId="33D24F7E">
      <w:pPr>
        <w:pStyle w:val="4"/>
        <w:ind w:left="1859"/>
        <w:rPr>
          <w:rFonts w:ascii="Times New Roman"/>
          <w:sz w:val="20"/>
        </w:rPr>
      </w:pPr>
    </w:p>
    <w:p w14:paraId="0CF14647">
      <w:pPr>
        <w:jc w:val="center"/>
        <w:rPr>
          <w:rFonts w:hint="eastAsia" w:ascii="Times New Roman" w:eastAsia="Arial Unicode MS"/>
          <w:sz w:val="20"/>
          <w:lang w:eastAsia="zh-CN"/>
        </w:rPr>
        <w:sectPr>
          <w:pgSz w:w="11910" w:h="16840"/>
          <w:pgMar w:top="1560" w:right="0" w:bottom="1080" w:left="0" w:header="0" w:footer="895" w:gutter="0"/>
          <w:cols w:space="720" w:num="1"/>
        </w:sectPr>
      </w:pPr>
      <w:r>
        <w:rPr>
          <w:rFonts w:hint="eastAsia" w:ascii="Times New Roman" w:eastAsia="Arial Unicode MS"/>
          <w:sz w:val="20"/>
          <w:lang w:eastAsia="zh-CN"/>
        </w:rPr>
        <w:drawing>
          <wp:inline distT="0" distB="0" distL="114300" distR="114300">
            <wp:extent cx="7555230" cy="872490"/>
            <wp:effectExtent l="0" t="0" r="7620" b="3810"/>
            <wp:docPr id="16" name="图片 16" descr="172949907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29499072069"/>
                    <pic:cNvPicPr>
                      <a:picLocks noChangeAspect="1"/>
                    </pic:cNvPicPr>
                  </pic:nvPicPr>
                  <pic:blipFill>
                    <a:blip r:embed="rId15"/>
                    <a:stretch>
                      <a:fillRect/>
                    </a:stretch>
                  </pic:blipFill>
                  <pic:spPr>
                    <a:xfrm>
                      <a:off x="0" y="0"/>
                      <a:ext cx="7555230" cy="872490"/>
                    </a:xfrm>
                    <a:prstGeom prst="rect">
                      <a:avLst/>
                    </a:prstGeom>
                  </pic:spPr>
                </pic:pic>
              </a:graphicData>
            </a:graphic>
          </wp:inline>
        </w:drawing>
      </w:r>
    </w:p>
    <w:p w14:paraId="0ACFC45E">
      <w:pPr>
        <w:pStyle w:val="4"/>
        <w:rPr>
          <w:rFonts w:ascii="Times New Roman"/>
          <w:sz w:val="20"/>
        </w:rPr>
      </w:pPr>
      <w:r>
        <w:pict>
          <v:rect id="_x0000_s1032" o:spid="_x0000_s1032" o:spt="1" style="position:absolute;left:0pt;margin-left:0pt;margin-top:330.8pt;height:2pt;width:595.25pt;mso-position-horizontal-relative:page;mso-position-vertical-relative:page;z-index:251667456;mso-width-relative:page;mso-height-relative:page;" fillcolor="#385D89" filled="t" stroked="f" coordsize="21600,21600">
            <v:path/>
            <v:fill on="t" focussize="0,0"/>
            <v:stroke on="f"/>
            <v:imagedata o:title=""/>
            <o:lock v:ext="edit"/>
          </v:rect>
        </w:pict>
      </w:r>
      <w:r>
        <w:pict>
          <v:rect id="_x0000_s1033" o:spid="_x0000_s1033" o:spt="1" style="position:absolute;left:0pt;margin-left:0pt;margin-top:481.4pt;height:2pt;width:595.25pt;mso-position-horizontal-relative:page;mso-position-vertical-relative:page;z-index:251668480;mso-width-relative:page;mso-height-relative:page;" fillcolor="#385D89" filled="t" stroked="f" coordsize="21600,21600">
            <v:path/>
            <v:fill on="t" focussize="0,0"/>
            <v:stroke on="f"/>
            <v:imagedata o:title=""/>
            <o:lock v:ext="edit"/>
          </v:rect>
        </w:pict>
      </w:r>
    </w:p>
    <w:p w14:paraId="03D8141F">
      <w:pPr>
        <w:pStyle w:val="4"/>
        <w:rPr>
          <w:rFonts w:ascii="Times New Roman"/>
          <w:sz w:val="20"/>
        </w:rPr>
      </w:pPr>
    </w:p>
    <w:p w14:paraId="5BDBE669">
      <w:pPr>
        <w:pStyle w:val="4"/>
        <w:rPr>
          <w:rFonts w:ascii="Times New Roman"/>
          <w:sz w:val="20"/>
        </w:rPr>
      </w:pPr>
    </w:p>
    <w:p w14:paraId="6D42BAAA">
      <w:pPr>
        <w:pStyle w:val="4"/>
        <w:rPr>
          <w:rFonts w:ascii="Times New Roman"/>
          <w:sz w:val="20"/>
        </w:rPr>
      </w:pPr>
    </w:p>
    <w:p w14:paraId="7C95918C">
      <w:pPr>
        <w:pStyle w:val="4"/>
        <w:rPr>
          <w:rFonts w:ascii="Times New Roman"/>
          <w:sz w:val="20"/>
        </w:rPr>
      </w:pPr>
    </w:p>
    <w:p w14:paraId="147F73D0">
      <w:pPr>
        <w:pStyle w:val="4"/>
        <w:rPr>
          <w:rFonts w:ascii="Times New Roman"/>
          <w:sz w:val="20"/>
        </w:rPr>
      </w:pPr>
    </w:p>
    <w:p w14:paraId="5006BB21">
      <w:pPr>
        <w:pStyle w:val="4"/>
        <w:rPr>
          <w:rFonts w:ascii="Times New Roman"/>
          <w:sz w:val="20"/>
        </w:rPr>
      </w:pPr>
    </w:p>
    <w:p w14:paraId="58AA3A62">
      <w:pPr>
        <w:pStyle w:val="4"/>
        <w:rPr>
          <w:rFonts w:ascii="Times New Roman"/>
          <w:sz w:val="20"/>
        </w:rPr>
      </w:pPr>
    </w:p>
    <w:p w14:paraId="529B5552">
      <w:pPr>
        <w:pStyle w:val="4"/>
        <w:rPr>
          <w:rFonts w:ascii="Times New Roman"/>
          <w:sz w:val="20"/>
        </w:rPr>
      </w:pPr>
    </w:p>
    <w:p w14:paraId="53E692D1">
      <w:pPr>
        <w:pStyle w:val="4"/>
        <w:rPr>
          <w:rFonts w:ascii="Times New Roman"/>
          <w:sz w:val="20"/>
        </w:rPr>
      </w:pPr>
    </w:p>
    <w:p w14:paraId="2579A982">
      <w:pPr>
        <w:pStyle w:val="4"/>
        <w:rPr>
          <w:rFonts w:ascii="Times New Roman"/>
          <w:sz w:val="20"/>
        </w:rPr>
      </w:pPr>
    </w:p>
    <w:p w14:paraId="44DCDCDB">
      <w:pPr>
        <w:pStyle w:val="4"/>
        <w:rPr>
          <w:rFonts w:ascii="Times New Roman"/>
          <w:sz w:val="20"/>
        </w:rPr>
      </w:pPr>
    </w:p>
    <w:p w14:paraId="7FA0F220">
      <w:pPr>
        <w:pStyle w:val="4"/>
        <w:rPr>
          <w:rFonts w:ascii="Times New Roman"/>
          <w:sz w:val="20"/>
        </w:rPr>
      </w:pPr>
    </w:p>
    <w:p w14:paraId="0549EA7D">
      <w:pPr>
        <w:pStyle w:val="4"/>
        <w:rPr>
          <w:rFonts w:ascii="Times New Roman"/>
          <w:sz w:val="20"/>
        </w:rPr>
      </w:pPr>
    </w:p>
    <w:p w14:paraId="1C475DE7">
      <w:pPr>
        <w:pStyle w:val="4"/>
        <w:rPr>
          <w:rFonts w:ascii="Times New Roman"/>
          <w:sz w:val="20"/>
        </w:rPr>
      </w:pPr>
    </w:p>
    <w:p w14:paraId="658552C7">
      <w:pPr>
        <w:pStyle w:val="4"/>
        <w:rPr>
          <w:rFonts w:ascii="Times New Roman"/>
          <w:sz w:val="20"/>
        </w:rPr>
      </w:pPr>
    </w:p>
    <w:p w14:paraId="2DBD242A">
      <w:pPr>
        <w:pStyle w:val="4"/>
        <w:rPr>
          <w:rFonts w:ascii="Times New Roman"/>
          <w:sz w:val="20"/>
        </w:rPr>
      </w:pPr>
    </w:p>
    <w:p w14:paraId="3510E202">
      <w:pPr>
        <w:pStyle w:val="4"/>
        <w:rPr>
          <w:rFonts w:ascii="Times New Roman"/>
          <w:sz w:val="20"/>
        </w:rPr>
      </w:pPr>
    </w:p>
    <w:p w14:paraId="29184B88">
      <w:pPr>
        <w:pStyle w:val="4"/>
        <w:rPr>
          <w:rFonts w:ascii="Times New Roman"/>
          <w:sz w:val="20"/>
        </w:rPr>
      </w:pPr>
    </w:p>
    <w:p w14:paraId="7D4BB98B">
      <w:pPr>
        <w:pStyle w:val="4"/>
        <w:rPr>
          <w:rFonts w:ascii="Times New Roman"/>
          <w:sz w:val="20"/>
        </w:rPr>
      </w:pPr>
    </w:p>
    <w:p w14:paraId="11CE3FE5">
      <w:pPr>
        <w:pStyle w:val="4"/>
        <w:rPr>
          <w:rFonts w:ascii="Times New Roman"/>
          <w:sz w:val="20"/>
        </w:rPr>
      </w:pPr>
    </w:p>
    <w:p w14:paraId="122BFCE0">
      <w:pPr>
        <w:pStyle w:val="4"/>
        <w:spacing w:before="9" w:after="1"/>
        <w:rPr>
          <w:rFonts w:ascii="Times New Roman"/>
          <w:sz w:val="19"/>
        </w:rPr>
      </w:pPr>
    </w:p>
    <w:p w14:paraId="1FD7FF7C">
      <w:pPr>
        <w:pStyle w:val="4"/>
        <w:ind w:right="-58"/>
        <w:rPr>
          <w:rFonts w:ascii="Times New Roman"/>
          <w:sz w:val="20"/>
        </w:rPr>
      </w:pPr>
      <w:r>
        <w:rPr>
          <w:rFonts w:ascii="Times New Roman"/>
          <w:sz w:val="20"/>
        </w:rPr>
        <w:pict>
          <v:shape id="_x0000_s1041" o:spid="_x0000_s1041" o:spt="202" type="#_x0000_t202" style="height:148.6pt;width:595.3pt;" fillcolor="#94B3D6" filled="t" stroked="f" coordsize="21600,21600">
            <v:path/>
            <v:fill on="t" focussize="0,0"/>
            <v:stroke on="f" joinstyle="miter"/>
            <v:imagedata o:title=""/>
            <o:lock v:ext="edit"/>
            <v:textbox inset="0mm,0mm,0mm,0mm">
              <w:txbxContent>
                <w:p w14:paraId="7186813F">
                  <w:pPr>
                    <w:tabs>
                      <w:tab w:val="left" w:pos="2378"/>
                    </w:tabs>
                    <w:spacing w:before="21" w:line="947" w:lineRule="exact"/>
                    <w:ind w:left="31"/>
                    <w:jc w:val="center"/>
                    <w:rPr>
                      <w:rFonts w:hint="eastAsia" w:ascii="Microsoft JhengHei" w:eastAsia="Microsoft JhengHei"/>
                      <w:b/>
                      <w:sz w:val="52"/>
                      <w:lang w:eastAsia="zh-CN"/>
                    </w:rPr>
                  </w:pPr>
                  <w:r>
                    <w:rPr>
                      <w:rFonts w:hint="eastAsia" w:ascii="Microsoft JhengHei" w:eastAsia="Microsoft JhengHei"/>
                      <w:b/>
                      <w:sz w:val="52"/>
                    </w:rPr>
                    <w:t>第三部分</w:t>
                  </w:r>
                  <w:r>
                    <w:rPr>
                      <w:rFonts w:hint="eastAsia" w:ascii="Microsoft JhengHei" w:eastAsia="Microsoft JhengHei"/>
                      <w:b/>
                      <w:sz w:val="52"/>
                    </w:rPr>
                    <w:tab/>
                  </w:r>
                  <w:r>
                    <w:rPr>
                      <w:rFonts w:hint="eastAsia" w:ascii="Microsoft JhengHei" w:eastAsia="Microsoft JhengHei"/>
                      <w:b/>
                      <w:sz w:val="52"/>
                    </w:rPr>
                    <w:t>唐山</w:t>
                  </w:r>
                  <w:r>
                    <w:rPr>
                      <w:rFonts w:hint="eastAsia" w:ascii="Microsoft JhengHei" w:eastAsia="Microsoft JhengHei"/>
                      <w:b/>
                      <w:sz w:val="52"/>
                    </w:rPr>
                    <w:t>市</w:t>
                  </w:r>
                  <w:r>
                    <w:rPr>
                      <w:rFonts w:hint="eastAsia" w:ascii="Microsoft JhengHei" w:eastAsia="Microsoft JhengHei"/>
                      <w:b/>
                      <w:sz w:val="52"/>
                      <w:lang w:eastAsia="zh-CN"/>
                    </w:rPr>
                    <w:t>开平区</w:t>
                  </w:r>
                  <w:r>
                    <w:rPr>
                      <w:rFonts w:hint="eastAsia" w:ascii="Microsoft JhengHei" w:eastAsia="Microsoft JhengHei"/>
                      <w:b/>
                      <w:sz w:val="52"/>
                    </w:rPr>
                    <w:t>消防救援</w:t>
                  </w:r>
                  <w:r>
                    <w:rPr>
                      <w:rFonts w:hint="eastAsia" w:ascii="Microsoft JhengHei" w:eastAsia="Microsoft JhengHei"/>
                      <w:b/>
                      <w:sz w:val="52"/>
                      <w:lang w:eastAsia="zh-CN"/>
                    </w:rPr>
                    <w:t>大队</w:t>
                  </w:r>
                </w:p>
                <w:p w14:paraId="5974CCCF">
                  <w:pPr>
                    <w:tabs>
                      <w:tab w:val="left" w:pos="2378"/>
                    </w:tabs>
                    <w:spacing w:before="21" w:line="947" w:lineRule="exact"/>
                    <w:ind w:left="31"/>
                    <w:jc w:val="center"/>
                    <w:rPr>
                      <w:rFonts w:hint="eastAsia" w:ascii="Microsoft JhengHei" w:eastAsia="Microsoft JhengHei"/>
                      <w:b/>
                      <w:sz w:val="52"/>
                    </w:rPr>
                  </w:pPr>
                  <w:r>
                    <w:rPr>
                      <w:rFonts w:hint="eastAsia" w:ascii="Microsoft JhengHei" w:eastAsia="Microsoft JhengHei"/>
                      <w:b/>
                      <w:sz w:val="52"/>
                    </w:rPr>
                    <w:t>202</w:t>
                  </w:r>
                  <w:r>
                    <w:rPr>
                      <w:rFonts w:hint="eastAsia" w:ascii="Microsoft JhengHei" w:eastAsia="Microsoft JhengHei"/>
                      <w:b/>
                      <w:sz w:val="52"/>
                      <w:lang w:val="en-US" w:eastAsia="zh-CN"/>
                    </w:rPr>
                    <w:t>3</w:t>
                  </w:r>
                  <w:r>
                    <w:rPr>
                      <w:rFonts w:hint="eastAsia" w:ascii="Microsoft JhengHei" w:eastAsia="Microsoft JhengHei"/>
                      <w:b/>
                      <w:sz w:val="52"/>
                    </w:rPr>
                    <w:t xml:space="preserve"> </w:t>
                  </w:r>
                  <w:r>
                    <w:rPr>
                      <w:rFonts w:hint="eastAsia" w:ascii="Microsoft JhengHei" w:eastAsia="Microsoft JhengHei"/>
                      <w:b/>
                      <w:sz w:val="52"/>
                    </w:rPr>
                    <w:t>年度部门决算情况说明</w:t>
                  </w:r>
                </w:p>
              </w:txbxContent>
            </v:textbox>
            <w10:wrap type="none"/>
            <w10:anchorlock/>
          </v:shape>
        </w:pict>
      </w:r>
    </w:p>
    <w:p w14:paraId="0E304896">
      <w:pPr>
        <w:rPr>
          <w:rFonts w:ascii="Times New Roman"/>
          <w:sz w:val="20"/>
        </w:rPr>
        <w:sectPr>
          <w:pgSz w:w="11910" w:h="16840"/>
          <w:pgMar w:top="1580" w:right="0" w:bottom="1080" w:left="0" w:header="0" w:footer="895" w:gutter="0"/>
          <w:cols w:space="720" w:num="1"/>
        </w:sectPr>
      </w:pPr>
    </w:p>
    <w:p w14:paraId="086E7D3F">
      <w:pPr>
        <w:pStyle w:val="4"/>
        <w:spacing w:line="530" w:lineRule="exact"/>
        <w:ind w:left="2440"/>
      </w:pPr>
      <w:r>
        <w:rPr>
          <w:rFonts w:hint="eastAsia" w:ascii="黑体" w:hAnsi="黑体" w:eastAsia="黑体" w:cs="黑体"/>
        </w:rPr>
        <w:t>一、收入支出决算总体情况说明</w:t>
      </w:r>
    </w:p>
    <w:p w14:paraId="52439AB5">
      <w:pPr>
        <w:pStyle w:val="4"/>
        <w:spacing w:line="541" w:lineRule="exact"/>
        <w:ind w:left="2440" w:firstLine="416" w:firstLineChars="100"/>
        <w:rPr>
          <w:rFonts w:hint="eastAsia" w:ascii="仿宋_GB2312" w:hAnsi="仿宋_GB2312" w:eastAsia="仿宋_GB2312" w:cs="仿宋_GB2312"/>
          <w:spacing w:val="48"/>
          <w:sz w:val="32"/>
          <w:szCs w:val="32"/>
        </w:rPr>
      </w:pPr>
      <w:r>
        <w:rPr>
          <w:rFonts w:hint="eastAsia" w:ascii="仿宋_GB2312" w:hAnsi="仿宋_GB2312" w:eastAsia="仿宋_GB2312" w:cs="仿宋_GB2312"/>
          <w:spacing w:val="48"/>
          <w:sz w:val="32"/>
          <w:szCs w:val="32"/>
        </w:rPr>
        <w:t>202</w:t>
      </w:r>
      <w:r>
        <w:rPr>
          <w:rFonts w:hint="eastAsia" w:ascii="仿宋_GB2312" w:hAnsi="仿宋_GB2312" w:eastAsia="仿宋_GB2312" w:cs="仿宋_GB2312"/>
          <w:spacing w:val="48"/>
          <w:sz w:val="32"/>
          <w:szCs w:val="32"/>
          <w:lang w:val="en-US" w:eastAsia="zh-CN"/>
        </w:rPr>
        <w:t>3</w:t>
      </w:r>
      <w:r>
        <w:rPr>
          <w:rFonts w:hint="eastAsia" w:ascii="仿宋_GB2312" w:hAnsi="仿宋_GB2312" w:eastAsia="仿宋_GB2312" w:cs="仿宋_GB2312"/>
          <w:spacing w:val="48"/>
          <w:sz w:val="32"/>
          <w:szCs w:val="32"/>
        </w:rPr>
        <w:t>年度唐山市</w:t>
      </w:r>
      <w:r>
        <w:rPr>
          <w:rFonts w:hint="eastAsia" w:ascii="仿宋_GB2312" w:hAnsi="仿宋_GB2312" w:eastAsia="仿宋_GB2312" w:cs="仿宋_GB2312"/>
          <w:spacing w:val="48"/>
          <w:sz w:val="32"/>
          <w:szCs w:val="32"/>
          <w:lang w:eastAsia="zh-CN"/>
        </w:rPr>
        <w:t>开平区</w:t>
      </w:r>
      <w:r>
        <w:rPr>
          <w:rFonts w:hint="eastAsia" w:ascii="仿宋_GB2312" w:hAnsi="仿宋_GB2312" w:eastAsia="仿宋_GB2312" w:cs="仿宋_GB2312"/>
          <w:spacing w:val="48"/>
          <w:sz w:val="32"/>
          <w:szCs w:val="32"/>
        </w:rPr>
        <w:t>消防救援</w:t>
      </w:r>
      <w:r>
        <w:rPr>
          <w:rFonts w:hint="eastAsia" w:ascii="仿宋_GB2312" w:hAnsi="仿宋_GB2312" w:eastAsia="仿宋_GB2312" w:cs="仿宋_GB2312"/>
          <w:spacing w:val="48"/>
          <w:sz w:val="32"/>
          <w:szCs w:val="32"/>
          <w:lang w:eastAsia="zh-CN"/>
        </w:rPr>
        <w:t>大</w:t>
      </w:r>
      <w:r>
        <w:rPr>
          <w:rFonts w:hint="eastAsia" w:ascii="仿宋_GB2312" w:hAnsi="仿宋_GB2312" w:eastAsia="仿宋_GB2312" w:cs="仿宋_GB2312"/>
          <w:spacing w:val="48"/>
          <w:sz w:val="32"/>
          <w:szCs w:val="32"/>
        </w:rPr>
        <w:t>队收入总计</w:t>
      </w:r>
      <w:r>
        <w:rPr>
          <w:rFonts w:hint="eastAsia" w:ascii="仿宋_GB2312" w:hAnsi="仿宋_GB2312" w:eastAsia="仿宋_GB2312" w:cs="仿宋_GB2312"/>
          <w:spacing w:val="48"/>
          <w:sz w:val="32"/>
          <w:szCs w:val="32"/>
          <w:lang w:val="en-US" w:eastAsia="zh-CN"/>
        </w:rPr>
        <w:t>102.69</w:t>
      </w:r>
      <w:r>
        <w:rPr>
          <w:rFonts w:hint="eastAsia" w:ascii="仿宋_GB2312" w:hAnsi="仿宋_GB2312" w:eastAsia="仿宋_GB2312" w:cs="仿宋_GB2312"/>
          <w:spacing w:val="48"/>
          <w:sz w:val="32"/>
          <w:szCs w:val="32"/>
        </w:rPr>
        <w:t>万元，支出</w:t>
      </w:r>
      <w:r>
        <w:rPr>
          <w:rFonts w:hint="eastAsia" w:ascii="仿宋_GB2312" w:hAnsi="仿宋_GB2312" w:eastAsia="仿宋_GB2312" w:cs="仿宋_GB2312"/>
          <w:spacing w:val="48"/>
          <w:sz w:val="32"/>
          <w:szCs w:val="32"/>
          <w:lang w:val="en-US" w:eastAsia="zh-CN"/>
        </w:rPr>
        <w:t>147.84</w:t>
      </w:r>
      <w:r>
        <w:rPr>
          <w:rFonts w:hint="eastAsia" w:ascii="仿宋_GB2312" w:hAnsi="仿宋_GB2312" w:eastAsia="仿宋_GB2312" w:cs="仿宋_GB2312"/>
          <w:spacing w:val="48"/>
          <w:sz w:val="32"/>
          <w:szCs w:val="32"/>
        </w:rPr>
        <w:t>万元，与 202</w:t>
      </w:r>
      <w:r>
        <w:rPr>
          <w:rFonts w:hint="eastAsia" w:ascii="仿宋_GB2312" w:hAnsi="仿宋_GB2312" w:eastAsia="仿宋_GB2312" w:cs="仿宋_GB2312"/>
          <w:spacing w:val="48"/>
          <w:sz w:val="32"/>
          <w:szCs w:val="32"/>
          <w:lang w:val="en-US" w:eastAsia="zh-CN"/>
        </w:rPr>
        <w:t xml:space="preserve">2 </w:t>
      </w:r>
      <w:r>
        <w:rPr>
          <w:rFonts w:hint="eastAsia" w:ascii="仿宋_GB2312" w:hAnsi="仿宋_GB2312" w:eastAsia="仿宋_GB2312" w:cs="仿宋_GB2312"/>
          <w:spacing w:val="48"/>
          <w:sz w:val="32"/>
          <w:szCs w:val="32"/>
        </w:rPr>
        <w:t>年度相比，</w:t>
      </w:r>
      <w:r>
        <w:rPr>
          <w:rFonts w:hint="eastAsia" w:ascii="仿宋_GB2312" w:hAnsi="仿宋_GB2312" w:eastAsia="仿宋_GB2312" w:cs="仿宋_GB2312"/>
          <w:spacing w:val="48"/>
          <w:sz w:val="32"/>
          <w:szCs w:val="32"/>
          <w:lang w:eastAsia="zh-CN"/>
        </w:rPr>
        <w:t>收入增加</w:t>
      </w:r>
      <w:r>
        <w:rPr>
          <w:rFonts w:hint="eastAsia" w:ascii="仿宋_GB2312" w:hAnsi="仿宋_GB2312" w:eastAsia="仿宋_GB2312" w:cs="仿宋_GB2312"/>
          <w:spacing w:val="48"/>
          <w:sz w:val="32"/>
          <w:szCs w:val="32"/>
          <w:lang w:val="en-US" w:eastAsia="zh-CN"/>
        </w:rPr>
        <w:t>41.47</w:t>
      </w:r>
      <w:r>
        <w:rPr>
          <w:rFonts w:hint="eastAsia" w:ascii="仿宋_GB2312" w:hAnsi="仿宋_GB2312" w:eastAsia="仿宋_GB2312" w:cs="仿宋_GB2312"/>
          <w:spacing w:val="48"/>
          <w:sz w:val="32"/>
          <w:szCs w:val="32"/>
        </w:rPr>
        <w:t xml:space="preserve"> 万元，</w:t>
      </w:r>
      <w:r>
        <w:rPr>
          <w:rFonts w:hint="eastAsia" w:ascii="仿宋_GB2312" w:hAnsi="仿宋_GB2312" w:eastAsia="仿宋_GB2312" w:cs="仿宋_GB2312"/>
          <w:spacing w:val="48"/>
          <w:sz w:val="32"/>
          <w:szCs w:val="32"/>
          <w:lang w:eastAsia="zh-CN"/>
        </w:rPr>
        <w:t>上升</w:t>
      </w:r>
      <w:r>
        <w:rPr>
          <w:rFonts w:hint="eastAsia" w:ascii="仿宋_GB2312" w:hAnsi="仿宋_GB2312" w:eastAsia="仿宋_GB2312" w:cs="仿宋_GB2312"/>
          <w:spacing w:val="48"/>
          <w:sz w:val="32"/>
          <w:szCs w:val="32"/>
          <w:lang w:val="en-US" w:eastAsia="zh-CN"/>
        </w:rPr>
        <w:t>67.74</w:t>
      </w:r>
      <w:r>
        <w:rPr>
          <w:rFonts w:hint="eastAsia" w:ascii="仿宋_GB2312" w:hAnsi="仿宋_GB2312" w:eastAsia="仿宋_GB2312" w:cs="仿宋_GB2312"/>
          <w:spacing w:val="48"/>
          <w:sz w:val="32"/>
          <w:szCs w:val="32"/>
        </w:rPr>
        <w:t>%， 主要是年初财政拨款结转和结余</w:t>
      </w:r>
      <w:r>
        <w:rPr>
          <w:rFonts w:hint="eastAsia" w:ascii="仿宋_GB2312" w:hAnsi="仿宋_GB2312" w:eastAsia="仿宋_GB2312" w:cs="仿宋_GB2312"/>
          <w:spacing w:val="48"/>
          <w:sz w:val="32"/>
          <w:szCs w:val="32"/>
          <w:lang w:val="en-US"/>
        </w:rPr>
        <w:t>增加</w:t>
      </w:r>
      <w:r>
        <w:rPr>
          <w:rFonts w:hint="eastAsia" w:ascii="仿宋_GB2312" w:hAnsi="仿宋_GB2312" w:eastAsia="仿宋_GB2312" w:cs="仿宋_GB2312"/>
          <w:spacing w:val="48"/>
          <w:sz w:val="32"/>
          <w:szCs w:val="32"/>
        </w:rPr>
        <w:t>。</w:t>
      </w:r>
    </w:p>
    <w:p w14:paraId="56AB1C7D">
      <w:pPr>
        <w:spacing w:before="67"/>
        <w:ind w:left="107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 1：收、支决算总计变动情况</w:t>
      </w:r>
    </w:p>
    <w:p w14:paraId="648F2B69">
      <w:pPr>
        <w:spacing w:before="53"/>
        <w:ind w:left="1073"/>
        <w:jc w:val="center"/>
        <w:rPr>
          <w:sz w:val="28"/>
        </w:rPr>
      </w:pPr>
      <w:r>
        <w:rPr>
          <w:rFonts w:hint="eastAsia" w:ascii="仿宋_GB2312" w:hAnsi="仿宋_GB2312" w:eastAsia="仿宋_GB2312" w:cs="仿宋_GB2312"/>
          <w:sz w:val="32"/>
          <w:szCs w:val="32"/>
        </w:rPr>
        <w:t>（单位:万元）</w:t>
      </w:r>
    </w:p>
    <w:p w14:paraId="6859C461">
      <w:pPr>
        <w:spacing w:before="53"/>
        <w:ind w:left="1073"/>
        <w:jc w:val="center"/>
        <w:rPr>
          <w:sz w:val="34"/>
        </w:rPr>
      </w:pPr>
      <w:r>
        <w:rPr>
          <w:rFonts w:hint="eastAsia" w:eastAsia="Arial Unicode MS"/>
          <w:sz w:val="34"/>
          <w:lang w:eastAsia="zh-CN"/>
        </w:rPr>
        <w:drawing>
          <wp:inline distT="0" distB="0" distL="114300" distR="114300">
            <wp:extent cx="5256530" cy="2388870"/>
            <wp:effectExtent l="4445" t="4445" r="15875" b="698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34B499">
      <w:pPr>
        <w:pStyle w:val="4"/>
        <w:spacing w:line="550" w:lineRule="exact"/>
        <w:ind w:left="2440"/>
      </w:pPr>
      <w:r>
        <w:rPr>
          <w:rFonts w:hint="eastAsia" w:ascii="黑体" w:hAnsi="黑体" w:eastAsia="黑体" w:cs="黑体"/>
        </w:rPr>
        <w:t>二、收入决算情况说明</w:t>
      </w:r>
    </w:p>
    <w:p w14:paraId="1CB3744D">
      <w:pPr>
        <w:pStyle w:val="4"/>
        <w:spacing w:line="541"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spacing w:val="48"/>
          <w:sz w:val="32"/>
          <w:szCs w:val="32"/>
        </w:rPr>
        <w:t>本年收入合计</w:t>
      </w:r>
      <w:r>
        <w:rPr>
          <w:rFonts w:hint="eastAsia" w:ascii="仿宋_GB2312" w:hAnsi="仿宋_GB2312" w:eastAsia="仿宋_GB2312" w:cs="仿宋_GB2312"/>
          <w:spacing w:val="48"/>
          <w:sz w:val="32"/>
          <w:szCs w:val="32"/>
          <w:lang w:val="en-US" w:eastAsia="zh-CN"/>
        </w:rPr>
        <w:t>102.69</w:t>
      </w:r>
      <w:r>
        <w:rPr>
          <w:rFonts w:hint="eastAsia" w:ascii="仿宋_GB2312" w:hAnsi="仿宋_GB2312" w:eastAsia="仿宋_GB2312" w:cs="仿宋_GB2312"/>
          <w:spacing w:val="31"/>
          <w:sz w:val="32"/>
          <w:szCs w:val="32"/>
        </w:rPr>
        <w:t>万元，其中： 财政拨款收入</w:t>
      </w:r>
    </w:p>
    <w:p w14:paraId="41441720">
      <w:pPr>
        <w:pStyle w:val="4"/>
        <w:spacing w:line="54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 xml:space="preserve">万元，占 </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 xml:space="preserve">%；其他收入 </w:t>
      </w:r>
      <w:r>
        <w:rPr>
          <w:rFonts w:hint="eastAsia" w:ascii="仿宋_GB2312" w:hAnsi="仿宋_GB2312" w:eastAsia="仿宋_GB2312" w:cs="仿宋_GB2312"/>
          <w:sz w:val="32"/>
          <w:szCs w:val="32"/>
          <w:lang w:val="en-US" w:eastAsia="zh-CN"/>
        </w:rPr>
        <w:t>99.19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96.6</w:t>
      </w:r>
      <w:r>
        <w:rPr>
          <w:rFonts w:hint="eastAsia" w:ascii="仿宋_GB2312" w:hAnsi="仿宋_GB2312" w:eastAsia="仿宋_GB2312" w:cs="仿宋_GB2312"/>
          <w:sz w:val="32"/>
          <w:szCs w:val="32"/>
        </w:rPr>
        <w:t>%。</w:t>
      </w:r>
    </w:p>
    <w:p w14:paraId="101492BD">
      <w:pPr>
        <w:spacing w:before="28"/>
        <w:ind w:left="305"/>
        <w:jc w:val="center"/>
        <w:rPr>
          <w:sz w:val="28"/>
        </w:rPr>
      </w:pPr>
      <w:r>
        <w:rPr>
          <w:rFonts w:hint="eastAsia" w:ascii="仿宋_GB2312" w:hAnsi="仿宋_GB2312" w:eastAsia="仿宋_GB2312" w:cs="仿宋_GB2312"/>
          <w:sz w:val="32"/>
          <w:szCs w:val="32"/>
        </w:rPr>
        <w:t>图 2：收入决算</w:t>
      </w:r>
    </w:p>
    <w:p w14:paraId="22E86C08">
      <w:pPr>
        <w:jc w:val="center"/>
        <w:rPr>
          <w:rFonts w:hint="eastAsia" w:eastAsia="Arial Unicode MS"/>
          <w:sz w:val="28"/>
          <w:lang w:eastAsia="zh-CN"/>
        </w:rPr>
        <w:sectPr>
          <w:pgSz w:w="11910" w:h="16840"/>
          <w:pgMar w:top="1480" w:right="0" w:bottom="1160" w:left="0" w:header="0" w:footer="895" w:gutter="0"/>
          <w:cols w:space="720" w:num="1"/>
        </w:sectPr>
      </w:pPr>
      <w:r>
        <w:rPr>
          <w:rFonts w:hint="eastAsia" w:eastAsia="Arial Unicode MS"/>
          <w:sz w:val="28"/>
          <w:lang w:eastAsia="zh-CN"/>
        </w:rPr>
        <w:drawing>
          <wp:inline distT="0" distB="0" distL="114300" distR="114300">
            <wp:extent cx="5256530" cy="2988310"/>
            <wp:effectExtent l="5080" t="4445" r="15240" b="1714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674EC8">
      <w:pPr>
        <w:pStyle w:val="4"/>
        <w:spacing w:line="524" w:lineRule="exact"/>
        <w:ind w:left="2440"/>
      </w:pPr>
      <w:r>
        <w:rPr>
          <w:rFonts w:hint="eastAsia" w:ascii="黑体" w:hAnsi="黑体" w:eastAsia="黑体" w:cs="黑体"/>
        </w:rPr>
        <w:t>三、支出决算情况说明</w:t>
      </w:r>
    </w:p>
    <w:p w14:paraId="119CE573">
      <w:pPr>
        <w:pStyle w:val="4"/>
        <w:spacing w:before="14" w:line="216" w:lineRule="auto"/>
        <w:ind w:left="1800" w:right="1284"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本年支出合计</w:t>
      </w:r>
      <w:r>
        <w:rPr>
          <w:rFonts w:hint="eastAsia" w:ascii="仿宋_GB2312" w:hAnsi="仿宋_GB2312" w:eastAsia="仿宋_GB2312" w:cs="仿宋_GB2312"/>
          <w:sz w:val="32"/>
          <w:szCs w:val="32"/>
          <w:lang w:val="en-US" w:eastAsia="zh-CN"/>
        </w:rPr>
        <w:t>147.84</w:t>
      </w:r>
      <w:r>
        <w:rPr>
          <w:rFonts w:hint="eastAsia" w:ascii="仿宋_GB2312" w:hAnsi="仿宋_GB2312" w:eastAsia="仿宋_GB2312" w:cs="仿宋_GB2312"/>
          <w:sz w:val="32"/>
          <w:szCs w:val="32"/>
        </w:rPr>
        <w:t xml:space="preserve">万元，其中：基本支出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万元，占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%；项目支出 </w:t>
      </w:r>
      <w:r>
        <w:rPr>
          <w:rFonts w:hint="eastAsia" w:ascii="仿宋_GB2312" w:hAnsi="仿宋_GB2312" w:eastAsia="仿宋_GB2312" w:cs="仿宋_GB2312"/>
          <w:sz w:val="32"/>
          <w:szCs w:val="32"/>
          <w:lang w:val="en-US" w:eastAsia="zh-CN"/>
        </w:rPr>
        <w:t>147.84</w:t>
      </w:r>
      <w:r>
        <w:rPr>
          <w:rFonts w:hint="eastAsia" w:ascii="仿宋_GB2312" w:hAnsi="仿宋_GB2312" w:eastAsia="仿宋_GB2312" w:cs="仿宋_GB2312"/>
          <w:sz w:val="32"/>
          <w:szCs w:val="32"/>
        </w:rPr>
        <w:t xml:space="preserve">万元，占 </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14:paraId="24E6D2B3">
      <w:pPr>
        <w:spacing w:before="5" w:after="7"/>
        <w:ind w:left="305"/>
        <w:jc w:val="center"/>
        <w:rPr>
          <w:sz w:val="28"/>
        </w:rPr>
      </w:pPr>
      <w:r>
        <w:rPr>
          <w:rFonts w:hint="eastAsia" w:ascii="仿宋_GB2312" w:hAnsi="仿宋_GB2312" w:eastAsia="仿宋_GB2312" w:cs="仿宋_GB2312"/>
          <w:sz w:val="32"/>
          <w:szCs w:val="32"/>
        </w:rPr>
        <w:t>图 3：支出决算</w:t>
      </w:r>
    </w:p>
    <w:p w14:paraId="7AA66941">
      <w:pPr>
        <w:pStyle w:val="4"/>
        <w:ind w:left="2084"/>
        <w:jc w:val="both"/>
        <w:rPr>
          <w:rFonts w:hint="eastAsia" w:eastAsia="Arial Unicode MS"/>
          <w:sz w:val="20"/>
          <w:lang w:eastAsia="zh-CN"/>
        </w:rPr>
      </w:pPr>
      <w:r>
        <w:rPr>
          <w:rFonts w:hint="eastAsia" w:eastAsia="Arial Unicode MS"/>
          <w:sz w:val="20"/>
          <w:lang w:eastAsia="zh-CN"/>
        </w:rPr>
        <w:drawing>
          <wp:inline distT="0" distB="0" distL="114300" distR="114300">
            <wp:extent cx="5256530" cy="2988310"/>
            <wp:effectExtent l="5080" t="4445" r="15240" b="1714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69F432">
      <w:pPr>
        <w:pStyle w:val="4"/>
        <w:spacing w:before="20" w:line="549" w:lineRule="exact"/>
        <w:ind w:left="2438"/>
      </w:pPr>
      <w:r>
        <w:rPr>
          <w:rFonts w:hint="eastAsia" w:ascii="黑体" w:hAnsi="黑体" w:eastAsia="黑体" w:cs="黑体"/>
        </w:rPr>
        <w:t>四、财政拨款收入支出决算总体情况说明</w:t>
      </w:r>
    </w:p>
    <w:p w14:paraId="0ADE0300">
      <w:pPr>
        <w:pStyle w:val="4"/>
        <w:keepNext w:val="0"/>
        <w:keepLines w:val="0"/>
        <w:pageBreakBefore w:val="0"/>
        <w:widowControl w:val="0"/>
        <w:kinsoku/>
        <w:wordWrap/>
        <w:overflowPunct/>
        <w:topLinePunct w:val="0"/>
        <w:autoSpaceDE w:val="0"/>
        <w:autoSpaceDN w:val="0"/>
        <w:bidi w:val="0"/>
        <w:adjustRightInd/>
        <w:snapToGrid/>
        <w:spacing w:before="14" w:line="216" w:lineRule="auto"/>
        <w:ind w:left="1803" w:leftChars="0" w:right="1276" w:rightChars="0" w:firstLine="641"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年度财政拨款收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，支出总计</w:t>
      </w:r>
      <w:r>
        <w:rPr>
          <w:rFonts w:hint="eastAsia" w:ascii="仿宋_GB2312" w:hAnsi="仿宋_GB2312" w:eastAsia="仿宋_GB2312" w:cs="仿宋_GB2312"/>
          <w:sz w:val="32"/>
          <w:szCs w:val="32"/>
          <w:lang w:val="en-US" w:eastAsia="zh-CN"/>
        </w:rPr>
        <w:t>3.5万元</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13"/>
          <w:sz w:val="32"/>
          <w:szCs w:val="32"/>
        </w:rPr>
        <w:t>年度相比，财政拨款</w:t>
      </w:r>
      <w:r>
        <w:rPr>
          <w:rFonts w:hint="eastAsia" w:ascii="仿宋_GB2312" w:hAnsi="仿宋_GB2312" w:eastAsia="仿宋_GB2312" w:cs="仿宋_GB2312"/>
          <w:spacing w:val="-13"/>
          <w:sz w:val="32"/>
          <w:szCs w:val="32"/>
          <w:lang w:eastAsia="zh-CN"/>
        </w:rPr>
        <w:t>收入</w:t>
      </w:r>
      <w:r>
        <w:rPr>
          <w:rFonts w:hint="eastAsia" w:ascii="仿宋_GB2312" w:hAnsi="仿宋_GB2312" w:eastAsia="仿宋_GB2312" w:cs="仿宋_GB2312"/>
          <w:spacing w:val="-13"/>
          <w:sz w:val="32"/>
          <w:szCs w:val="32"/>
        </w:rPr>
        <w:t>总计</w:t>
      </w:r>
      <w:r>
        <w:rPr>
          <w:rFonts w:hint="eastAsia" w:ascii="仿宋_GB2312" w:hAnsi="仿宋_GB2312" w:eastAsia="仿宋_GB2312" w:cs="仿宋_GB2312"/>
          <w:spacing w:val="-13"/>
          <w:sz w:val="32"/>
          <w:szCs w:val="32"/>
          <w:lang w:eastAsia="zh-CN"/>
        </w:rPr>
        <w:t>增加</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pacing w:val="-13"/>
          <w:sz w:val="32"/>
          <w:szCs w:val="32"/>
        </w:rPr>
        <w:t>万元，</w:t>
      </w:r>
      <w:r>
        <w:rPr>
          <w:rFonts w:hint="eastAsia" w:ascii="仿宋_GB2312" w:hAnsi="仿宋_GB2312" w:eastAsia="仿宋_GB2312" w:cs="仿宋_GB2312"/>
          <w:spacing w:val="-13"/>
          <w:sz w:val="32"/>
          <w:szCs w:val="32"/>
          <w:lang w:eastAsia="zh-CN"/>
        </w:rPr>
        <w:t>上升</w:t>
      </w:r>
      <w:r>
        <w:rPr>
          <w:rFonts w:hint="eastAsia" w:ascii="仿宋_GB2312" w:hAnsi="仿宋_GB2312" w:eastAsia="仿宋_GB2312" w:cs="仿宋_GB2312"/>
          <w:spacing w:val="-13"/>
          <w:sz w:val="32"/>
          <w:szCs w:val="32"/>
          <w:lang w:val="en-US" w:eastAsia="zh-CN"/>
        </w:rPr>
        <w:t>289</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人员经费增加。</w:t>
      </w:r>
    </w:p>
    <w:p w14:paraId="5EEADC53">
      <w:pPr>
        <w:spacing w:before="36"/>
        <w:ind w:left="3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 4：财政拨款收、支决算总计变动情况</w:t>
      </w:r>
    </w:p>
    <w:p w14:paraId="73191095">
      <w:pPr>
        <w:spacing w:before="53"/>
        <w:ind w:left="4879"/>
        <w:rPr>
          <w:sz w:val="28"/>
        </w:rPr>
      </w:pPr>
      <w:r>
        <w:rPr>
          <w:rFonts w:hint="eastAsia" w:ascii="仿宋_GB2312" w:hAnsi="仿宋_GB2312" w:eastAsia="仿宋_GB2312" w:cs="仿宋_GB2312"/>
          <w:sz w:val="32"/>
          <w:szCs w:val="32"/>
        </w:rPr>
        <w:t>（单位：万元）</w:t>
      </w:r>
    </w:p>
    <w:p w14:paraId="262BC133">
      <w:pPr>
        <w:rPr>
          <w:sz w:val="28"/>
        </w:rPr>
      </w:pPr>
    </w:p>
    <w:p w14:paraId="40BDB5EE">
      <w:pPr>
        <w:jc w:val="center"/>
        <w:rPr>
          <w:rFonts w:hint="eastAsia" w:eastAsia="Arial Unicode MS"/>
          <w:sz w:val="28"/>
          <w:lang w:eastAsia="zh-CN"/>
        </w:rPr>
        <w:sectPr>
          <w:pgSz w:w="11910" w:h="16840"/>
          <w:pgMar w:top="1480" w:right="0" w:bottom="1160" w:left="0" w:header="0" w:footer="895" w:gutter="0"/>
          <w:cols w:space="720" w:num="1"/>
        </w:sectPr>
      </w:pPr>
      <w:r>
        <w:rPr>
          <w:rFonts w:hint="eastAsia" w:eastAsia="Arial Unicode MS"/>
          <w:sz w:val="28"/>
          <w:lang w:eastAsia="zh-CN"/>
        </w:rPr>
        <w:drawing>
          <wp:inline distT="0" distB="0" distL="114300" distR="114300">
            <wp:extent cx="5256530" cy="2550795"/>
            <wp:effectExtent l="4445" t="4445" r="15875" b="1651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A387445">
      <w:pPr>
        <w:pStyle w:val="4"/>
        <w:spacing w:line="531" w:lineRule="exact"/>
        <w:ind w:left="2440"/>
      </w:pPr>
      <w:r>
        <w:rPr>
          <w:rFonts w:hint="eastAsia" w:ascii="黑体" w:hAnsi="黑体" w:eastAsia="黑体" w:cs="黑体"/>
        </w:rPr>
        <w:t>五、一般公共预算财政拨款支出决算情况说明</w:t>
      </w:r>
    </w:p>
    <w:p w14:paraId="067FF09F">
      <w:pPr>
        <w:pStyle w:val="3"/>
        <w:spacing w:before="22" w:line="240" w:lineRule="auto"/>
      </w:pPr>
      <w:r>
        <w:rPr>
          <w:rFonts w:hint="eastAsia" w:ascii="华文楷体" w:hAnsi="华文楷体" w:eastAsia="华文楷体" w:cstheme="minorBidi"/>
          <w:b w:val="0"/>
          <w:bCs w:val="0"/>
          <w:kern w:val="2"/>
          <w:sz w:val="32"/>
          <w:szCs w:val="32"/>
          <w:lang w:val="en-US" w:eastAsia="zh-CN" w:bidi="ar-SA"/>
        </w:rPr>
        <w:t>（一）财政拨款支出决算总体情况</w:t>
      </w:r>
    </w:p>
    <w:p w14:paraId="7D2B337E">
      <w:pPr>
        <w:pStyle w:val="4"/>
        <w:spacing w:before="73"/>
        <w:ind w:left="2440"/>
        <w:jc w:val="both"/>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年度财政拨款支出 </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万元，占本年支出的</w:t>
      </w:r>
    </w:p>
    <w:p w14:paraId="46F32F58">
      <w:pPr>
        <w:pStyle w:val="9"/>
        <w:numPr>
          <w:numId w:val="0"/>
        </w:numPr>
        <w:tabs>
          <w:tab w:val="left" w:pos="2523"/>
        </w:tabs>
        <w:spacing w:before="65" w:line="266" w:lineRule="auto"/>
        <w:ind w:left="1800" w:leftChars="0" w:right="1358" w:righ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w:t>
      </w:r>
      <w:r>
        <w:rPr>
          <w:rFonts w:hint="eastAsia" w:ascii="仿宋_GB2312" w:hAnsi="仿宋_GB2312" w:eastAsia="仿宋_GB2312" w:cs="仿宋_GB2312"/>
          <w:spacing w:val="-4"/>
          <w:sz w:val="32"/>
          <w:szCs w:val="32"/>
        </w:rPr>
        <w:t xml:space="preserve">。与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1"/>
          <w:sz w:val="32"/>
          <w:szCs w:val="32"/>
        </w:rPr>
        <w:t>年度相比，财政拨款支出</w:t>
      </w:r>
      <w:r>
        <w:rPr>
          <w:rFonts w:hint="eastAsia" w:ascii="仿宋_GB2312" w:hAnsi="仿宋_GB2312" w:eastAsia="仿宋_GB2312" w:cs="仿宋_GB2312"/>
          <w:spacing w:val="-1"/>
          <w:sz w:val="32"/>
          <w:szCs w:val="32"/>
          <w:lang w:val="en-US" w:eastAsia="zh-CN"/>
        </w:rPr>
        <w:t>增加</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 xml:space="preserve">万元， </w:t>
      </w:r>
      <w:r>
        <w:rPr>
          <w:rFonts w:hint="eastAsia" w:ascii="仿宋_GB2312" w:hAnsi="仿宋_GB2312" w:eastAsia="仿宋_GB2312" w:cs="仿宋_GB2312"/>
          <w:spacing w:val="-7"/>
          <w:sz w:val="32"/>
          <w:szCs w:val="32"/>
          <w:lang w:val="en-US" w:eastAsia="zh-CN"/>
        </w:rPr>
        <w:t>上升</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z w:val="32"/>
          <w:szCs w:val="32"/>
          <w:lang w:val="en-US" w:eastAsia="zh-CN"/>
        </w:rPr>
        <w:t>289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人员经费增加</w:t>
      </w:r>
      <w:r>
        <w:rPr>
          <w:rFonts w:hint="eastAsia" w:ascii="仿宋_GB2312" w:hAnsi="仿宋_GB2312" w:eastAsia="仿宋_GB2312" w:cs="仿宋_GB2312"/>
          <w:sz w:val="32"/>
          <w:szCs w:val="32"/>
        </w:rPr>
        <w:t>。</w:t>
      </w:r>
    </w:p>
    <w:p w14:paraId="5961A97E">
      <w:pPr>
        <w:spacing w:before="50"/>
        <w:ind w:left="4034"/>
        <w:jc w:val="both"/>
        <w:rPr>
          <w:sz w:val="28"/>
        </w:rPr>
      </w:pPr>
      <w:r>
        <w:rPr>
          <w:rFonts w:hint="eastAsia" w:ascii="仿宋_GB2312" w:hAnsi="仿宋_GB2312" w:eastAsia="仿宋_GB2312" w:cs="仿宋_GB2312"/>
          <w:sz w:val="32"/>
          <w:szCs w:val="32"/>
        </w:rPr>
        <w:t>图 5：财政拨款支出决算变动情况</w:t>
      </w:r>
    </w:p>
    <w:p w14:paraId="17922C8D">
      <w:pPr>
        <w:spacing w:before="134"/>
        <w:ind w:left="713"/>
        <w:jc w:val="center"/>
        <w:rPr>
          <w:rFonts w:hint="eastAsia" w:eastAsia="Arial Unicode MS"/>
          <w:lang w:eastAsia="zh-CN"/>
        </w:rPr>
      </w:pPr>
      <w:r>
        <w:rPr>
          <w:rFonts w:hint="eastAsia" w:eastAsia="Arial Unicode MS"/>
          <w:lang w:eastAsia="zh-CN"/>
        </w:rPr>
        <w:drawing>
          <wp:inline distT="0" distB="0" distL="114300" distR="114300">
            <wp:extent cx="5256530" cy="2988310"/>
            <wp:effectExtent l="5080" t="4445" r="15240" b="17145"/>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A3FEC6">
      <w:pPr>
        <w:spacing w:before="134"/>
        <w:ind w:left="713"/>
        <w:jc w:val="center"/>
        <w:rPr>
          <w:sz w:val="28"/>
        </w:rPr>
      </w:pPr>
      <w:r>
        <w:rPr>
          <w:sz w:val="28"/>
        </w:rPr>
        <w:t>（单位</w:t>
      </w:r>
      <w:r>
        <w:rPr>
          <w:rFonts w:ascii="Times New Roman" w:eastAsia="Times New Roman"/>
          <w:sz w:val="28"/>
        </w:rPr>
        <w:t>:</w:t>
      </w:r>
      <w:r>
        <w:rPr>
          <w:sz w:val="28"/>
        </w:rPr>
        <w:t>万元）</w:t>
      </w:r>
    </w:p>
    <w:p w14:paraId="09C76454">
      <w:pPr>
        <w:pStyle w:val="3"/>
        <w:spacing w:line="240" w:lineRule="auto"/>
      </w:pPr>
      <w:r>
        <w:rPr>
          <w:rFonts w:hint="eastAsia" w:ascii="华文楷体" w:hAnsi="华文楷体" w:eastAsia="华文楷体" w:cstheme="minorBidi"/>
          <w:b w:val="0"/>
          <w:bCs w:val="0"/>
          <w:kern w:val="2"/>
          <w:sz w:val="32"/>
          <w:szCs w:val="32"/>
          <w:lang w:val="en-US" w:eastAsia="zh-CN" w:bidi="ar-SA"/>
        </w:rPr>
        <w:t>（二）财政拨款支出决算结构情况</w:t>
      </w:r>
    </w:p>
    <w:p w14:paraId="00670FD3">
      <w:pPr>
        <w:spacing w:before="75" w:line="254" w:lineRule="auto"/>
        <w:ind w:left="1800" w:right="1125" w:firstLine="640"/>
        <w:rPr>
          <w:sz w:val="32"/>
        </w:rPr>
      </w:pPr>
      <w:r>
        <w:rPr>
          <w:rFonts w:hint="eastAsia" w:ascii="仿宋_GB2312" w:hAnsi="仿宋_GB2312" w:eastAsia="仿宋_GB2312" w:cs="仿宋_GB2312"/>
          <w:sz w:val="32"/>
          <w:szCs w:val="32"/>
        </w:rPr>
        <w:t>20</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pacing w:val="-2"/>
          <w:sz w:val="32"/>
          <w:szCs w:val="32"/>
        </w:rPr>
        <w:t xml:space="preserve">年度财政拨款支出 </w:t>
      </w:r>
      <w:r>
        <w:rPr>
          <w:rFonts w:hint="eastAsia" w:ascii="仿宋_GB2312" w:hAnsi="仿宋_GB2312" w:eastAsia="仿宋_GB2312" w:cs="仿宋_GB2312"/>
          <w:b w:val="0"/>
          <w:bCs w:val="0"/>
          <w:spacing w:val="-2"/>
          <w:sz w:val="32"/>
          <w:szCs w:val="32"/>
          <w:lang w:val="en-US" w:eastAsia="zh-CN"/>
        </w:rPr>
        <w:t>3.5</w:t>
      </w:r>
      <w:r>
        <w:rPr>
          <w:rFonts w:hint="eastAsia" w:ascii="仿宋_GB2312" w:hAnsi="仿宋_GB2312" w:eastAsia="仿宋_GB2312" w:cs="仿宋_GB2312"/>
          <w:b w:val="0"/>
          <w:bCs w:val="0"/>
          <w:spacing w:val="-13"/>
          <w:sz w:val="32"/>
          <w:szCs w:val="32"/>
        </w:rPr>
        <w:t>万元，主要用于以下方面：</w:t>
      </w:r>
      <w:r>
        <w:rPr>
          <w:rFonts w:hint="eastAsia" w:ascii="仿宋_GB2312" w:hAnsi="仿宋_GB2312" w:eastAsia="仿宋_GB2312" w:cs="仿宋_GB2312"/>
          <w:b w:val="0"/>
          <w:bCs w:val="0"/>
          <w:sz w:val="32"/>
          <w:szCs w:val="32"/>
        </w:rPr>
        <w:t>灾害防治及应急管理（类）支出</w:t>
      </w:r>
      <w:r>
        <w:rPr>
          <w:rFonts w:hint="eastAsia" w:ascii="仿宋_GB2312" w:hAnsi="仿宋_GB2312" w:eastAsia="仿宋_GB2312" w:cs="仿宋_GB2312"/>
          <w:b w:val="0"/>
          <w:bCs w:val="0"/>
          <w:sz w:val="32"/>
          <w:szCs w:val="32"/>
          <w:lang w:val="en-US" w:eastAsia="zh-CN"/>
        </w:rPr>
        <w:t>3.5</w:t>
      </w:r>
      <w:r>
        <w:rPr>
          <w:rFonts w:hint="eastAsia" w:ascii="仿宋_GB2312" w:hAnsi="仿宋_GB2312" w:eastAsia="仿宋_GB2312" w:cs="仿宋_GB2312"/>
          <w:spacing w:val="-2"/>
          <w:sz w:val="32"/>
          <w:szCs w:val="32"/>
        </w:rPr>
        <w:t>万元，占</w:t>
      </w:r>
      <w:r>
        <w:rPr>
          <w:rFonts w:hint="eastAsia" w:ascii="仿宋_GB2312" w:hAnsi="仿宋_GB2312" w:eastAsia="仿宋_GB2312" w:cs="仿宋_GB2312"/>
          <w:spacing w:val="-2"/>
          <w:sz w:val="32"/>
          <w:szCs w:val="32"/>
          <w:lang w:val="en-US" w:eastAsia="zh-CN"/>
        </w:rPr>
        <w:t>100</w:t>
      </w:r>
      <w:r>
        <w:rPr>
          <w:rFonts w:hint="eastAsia" w:ascii="仿宋_GB2312" w:hAnsi="仿宋_GB2312" w:eastAsia="仿宋_GB2312" w:cs="仿宋_GB2312"/>
          <w:sz w:val="32"/>
          <w:szCs w:val="32"/>
        </w:rPr>
        <w:t>%。</w:t>
      </w:r>
    </w:p>
    <w:p w14:paraId="4C2E62CC">
      <w:pPr>
        <w:spacing w:line="254" w:lineRule="auto"/>
        <w:rPr>
          <w:sz w:val="32"/>
        </w:rPr>
        <w:sectPr>
          <w:pgSz w:w="11910" w:h="16840"/>
          <w:pgMar w:top="1560" w:right="0" w:bottom="1160" w:left="0" w:header="0" w:footer="895" w:gutter="0"/>
          <w:cols w:space="720" w:num="1"/>
        </w:sectPr>
      </w:pPr>
    </w:p>
    <w:p w14:paraId="76129FC0">
      <w:pPr>
        <w:pStyle w:val="4"/>
        <w:rPr>
          <w:sz w:val="20"/>
        </w:rPr>
      </w:pPr>
    </w:p>
    <w:p w14:paraId="6F35A3FC">
      <w:pPr>
        <w:pStyle w:val="4"/>
        <w:spacing w:before="16"/>
        <w:rPr>
          <w:sz w:val="14"/>
        </w:rPr>
      </w:pPr>
    </w:p>
    <w:p w14:paraId="643727BE">
      <w:pPr>
        <w:spacing w:before="15"/>
        <w:ind w:left="305"/>
        <w:jc w:val="center"/>
        <w:rPr>
          <w:rFonts w:hint="eastAsia" w:eastAsia="Arial Unicode MS"/>
          <w:lang w:eastAsia="zh-CN"/>
        </w:rPr>
      </w:pPr>
      <w:r>
        <w:rPr>
          <w:rFonts w:hint="eastAsia" w:eastAsia="Arial Unicode MS"/>
          <w:lang w:eastAsia="zh-CN"/>
        </w:rPr>
        <w:drawing>
          <wp:inline distT="0" distB="0" distL="114300" distR="114300">
            <wp:extent cx="5256530" cy="2988310"/>
            <wp:effectExtent l="5080" t="4445" r="15240" b="1714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0708B2B">
      <w:pPr>
        <w:spacing w:before="15"/>
        <w:ind w:left="305"/>
        <w:jc w:val="center"/>
        <w:rPr>
          <w:sz w:val="28"/>
        </w:rPr>
      </w:pPr>
      <w:r>
        <w:rPr>
          <w:rFonts w:hint="eastAsia" w:ascii="仿宋_GB2312" w:hAnsi="仿宋_GB2312" w:eastAsia="仿宋_GB2312" w:cs="仿宋_GB2312"/>
          <w:sz w:val="32"/>
          <w:szCs w:val="32"/>
        </w:rPr>
        <w:t>图 6：财政拨款支出决算结构</w:t>
      </w:r>
    </w:p>
    <w:p w14:paraId="49413BAA">
      <w:pPr>
        <w:pStyle w:val="4"/>
        <w:spacing w:before="9"/>
        <w:rPr>
          <w:sz w:val="24"/>
        </w:rPr>
      </w:pPr>
    </w:p>
    <w:p w14:paraId="02573223">
      <w:pPr>
        <w:pStyle w:val="3"/>
        <w:spacing w:line="585" w:lineRule="exact"/>
      </w:pPr>
      <w:r>
        <w:rPr>
          <w:rFonts w:hint="eastAsia" w:ascii="华文楷体" w:hAnsi="华文楷体" w:eastAsia="华文楷体" w:cstheme="minorBidi"/>
          <w:b w:val="0"/>
          <w:bCs w:val="0"/>
          <w:kern w:val="2"/>
          <w:sz w:val="32"/>
          <w:szCs w:val="32"/>
          <w:lang w:val="en-US" w:eastAsia="zh-CN" w:bidi="ar-SA"/>
        </w:rPr>
        <w:t>（三）财政拨款支出决算具体情况</w:t>
      </w:r>
    </w:p>
    <w:p w14:paraId="4E4C2307">
      <w:pPr>
        <w:pStyle w:val="4"/>
        <w:keepNext w:val="0"/>
        <w:keepLines w:val="0"/>
        <w:pageBreakBefore w:val="0"/>
        <w:widowControl w:val="0"/>
        <w:kinsoku/>
        <w:wordWrap/>
        <w:overflowPunct/>
        <w:topLinePunct w:val="0"/>
        <w:autoSpaceDE w:val="0"/>
        <w:autoSpaceDN w:val="0"/>
        <w:bidi w:val="0"/>
        <w:adjustRightInd/>
        <w:snapToGrid/>
        <w:spacing w:before="8" w:line="255" w:lineRule="auto"/>
        <w:ind w:left="1800" w:right="1262"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 xml:space="preserve"> 年度财政拨款支出年初预算为</w:t>
      </w:r>
      <w:r>
        <w:rPr>
          <w:rFonts w:hint="eastAsia" w:ascii="仿宋_GB2312" w:hAnsi="仿宋_GB2312" w:eastAsia="仿宋_GB2312" w:cs="仿宋_GB2312"/>
          <w:b w:val="0"/>
          <w:bCs w:val="0"/>
          <w:sz w:val="32"/>
          <w:szCs w:val="32"/>
          <w:lang w:val="en-US" w:eastAsia="zh-CN"/>
        </w:rPr>
        <w:t>3.5</w:t>
      </w:r>
      <w:r>
        <w:rPr>
          <w:rFonts w:hint="eastAsia" w:ascii="仿宋_GB2312" w:hAnsi="仿宋_GB2312" w:eastAsia="仿宋_GB2312" w:cs="仿宋_GB2312"/>
          <w:b w:val="0"/>
          <w:bCs w:val="0"/>
          <w:sz w:val="32"/>
          <w:szCs w:val="32"/>
        </w:rPr>
        <w:t xml:space="preserve">万元，支出决算为 </w:t>
      </w:r>
      <w:r>
        <w:rPr>
          <w:rFonts w:hint="eastAsia" w:ascii="仿宋_GB2312" w:hAnsi="仿宋_GB2312" w:eastAsia="仿宋_GB2312" w:cs="仿宋_GB2312"/>
          <w:b w:val="0"/>
          <w:bCs w:val="0"/>
          <w:spacing w:val="-2"/>
          <w:sz w:val="32"/>
          <w:szCs w:val="32"/>
          <w:lang w:val="en-US" w:eastAsia="zh-CN"/>
        </w:rPr>
        <w:t>3.5</w:t>
      </w:r>
      <w:r>
        <w:rPr>
          <w:rFonts w:hint="eastAsia" w:ascii="仿宋_GB2312" w:hAnsi="仿宋_GB2312" w:eastAsia="仿宋_GB2312" w:cs="仿宋_GB2312"/>
          <w:b w:val="0"/>
          <w:bCs w:val="0"/>
          <w:sz w:val="32"/>
          <w:szCs w:val="32"/>
        </w:rPr>
        <w:t xml:space="preserve">万元，完成年初预算的 </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%。其中：</w:t>
      </w:r>
    </w:p>
    <w:p w14:paraId="6A4D0D01">
      <w:pPr>
        <w:pStyle w:val="3"/>
        <w:keepNext w:val="0"/>
        <w:keepLines w:val="0"/>
        <w:pageBreakBefore w:val="0"/>
        <w:widowControl w:val="0"/>
        <w:numPr>
          <w:ilvl w:val="0"/>
          <w:numId w:val="0"/>
        </w:numPr>
        <w:tabs>
          <w:tab w:val="left" w:pos="2681"/>
        </w:tabs>
        <w:kinsoku/>
        <w:wordWrap/>
        <w:overflowPunct/>
        <w:topLinePunct w:val="0"/>
        <w:autoSpaceDE w:val="0"/>
        <w:autoSpaceDN w:val="0"/>
        <w:bidi w:val="0"/>
        <w:adjustRightInd/>
        <w:snapToGrid/>
        <w:spacing w:line="255" w:lineRule="auto"/>
        <w:ind w:left="2439" w:lef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社会保障和就业支出（类）行政事业单位养老支出（款）</w:t>
      </w:r>
    </w:p>
    <w:p w14:paraId="025BF001">
      <w:pPr>
        <w:keepNext w:val="0"/>
        <w:keepLines w:val="0"/>
        <w:pageBreakBefore w:val="0"/>
        <w:widowControl w:val="0"/>
        <w:kinsoku/>
        <w:wordWrap/>
        <w:overflowPunct/>
        <w:topLinePunct w:val="0"/>
        <w:autoSpaceDE w:val="0"/>
        <w:autoSpaceDN w:val="0"/>
        <w:bidi w:val="0"/>
        <w:adjustRightInd/>
        <w:snapToGrid/>
        <w:spacing w:before="36" w:line="255" w:lineRule="auto"/>
        <w:ind w:left="356"/>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 xml:space="preserve">机关事业单位基本养老保险缴费支出（项）年初预算为 </w:t>
      </w:r>
      <w:r>
        <w:rPr>
          <w:rFonts w:hint="eastAsia" w:ascii="仿宋_GB2312" w:hAnsi="仿宋_GB2312" w:eastAsia="仿宋_GB2312" w:cs="仿宋_GB2312"/>
          <w:b w:val="0"/>
          <w:bCs w:val="0"/>
          <w:sz w:val="32"/>
          <w:szCs w:val="32"/>
          <w:lang w:val="en-US" w:eastAsia="zh-CN"/>
        </w:rPr>
        <w:t>0</w:t>
      </w:r>
    </w:p>
    <w:p w14:paraId="6E98ADB3">
      <w:pPr>
        <w:pStyle w:val="4"/>
        <w:keepNext w:val="0"/>
        <w:keepLines w:val="0"/>
        <w:pageBreakBefore w:val="0"/>
        <w:widowControl w:val="0"/>
        <w:kinsoku/>
        <w:wordWrap/>
        <w:overflowPunct/>
        <w:topLinePunct w:val="0"/>
        <w:autoSpaceDE w:val="0"/>
        <w:autoSpaceDN w:val="0"/>
        <w:bidi w:val="0"/>
        <w:adjustRightInd/>
        <w:snapToGrid/>
        <w:spacing w:before="67" w:line="255" w:lineRule="auto"/>
        <w:ind w:left="1800" w:right="1284"/>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pacing w:val="-12"/>
          <w:sz w:val="32"/>
          <w:szCs w:val="32"/>
        </w:rPr>
        <w:t xml:space="preserve">万元，支出决算为 </w:t>
      </w:r>
      <w:r>
        <w:rPr>
          <w:rFonts w:hint="eastAsia" w:ascii="仿宋_GB2312" w:hAnsi="仿宋_GB2312" w:eastAsia="仿宋_GB2312" w:cs="仿宋_GB2312"/>
          <w:b w:val="0"/>
          <w:bCs w:val="0"/>
          <w:sz w:val="32"/>
          <w:szCs w:val="32"/>
        </w:rPr>
        <w:t xml:space="preserve">0 </w:t>
      </w:r>
      <w:r>
        <w:rPr>
          <w:rFonts w:hint="eastAsia" w:ascii="仿宋_GB2312" w:hAnsi="仿宋_GB2312" w:eastAsia="仿宋_GB2312" w:cs="仿宋_GB2312"/>
          <w:b w:val="0"/>
          <w:bCs w:val="0"/>
          <w:spacing w:val="-9"/>
          <w:sz w:val="32"/>
          <w:szCs w:val="32"/>
        </w:rPr>
        <w:t>万元。</w:t>
      </w:r>
    </w:p>
    <w:p w14:paraId="526068C7">
      <w:pPr>
        <w:pStyle w:val="3"/>
        <w:keepNext w:val="0"/>
        <w:keepLines w:val="0"/>
        <w:pageBreakBefore w:val="0"/>
        <w:widowControl w:val="0"/>
        <w:numPr>
          <w:ilvl w:val="0"/>
          <w:numId w:val="0"/>
        </w:numPr>
        <w:tabs>
          <w:tab w:val="left" w:pos="2681"/>
        </w:tabs>
        <w:kinsoku/>
        <w:wordWrap/>
        <w:overflowPunct/>
        <w:topLinePunct w:val="0"/>
        <w:autoSpaceDE w:val="0"/>
        <w:autoSpaceDN w:val="0"/>
        <w:bidi w:val="0"/>
        <w:adjustRightInd/>
        <w:snapToGrid/>
        <w:spacing w:line="255" w:lineRule="auto"/>
        <w:ind w:left="-1" w:leftChars="0" w:right="1195" w:rightChars="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社会保障和就业支出（类）行政事业单位养老支出（款）</w:t>
      </w:r>
    </w:p>
    <w:p w14:paraId="32FE652C">
      <w:pPr>
        <w:keepNext w:val="0"/>
        <w:keepLines w:val="0"/>
        <w:pageBreakBefore w:val="0"/>
        <w:widowControl w:val="0"/>
        <w:kinsoku/>
        <w:wordWrap/>
        <w:overflowPunct/>
        <w:topLinePunct w:val="0"/>
        <w:autoSpaceDE w:val="0"/>
        <w:autoSpaceDN w:val="0"/>
        <w:bidi w:val="0"/>
        <w:adjustRightInd/>
        <w:snapToGrid/>
        <w:spacing w:before="35" w:line="255" w:lineRule="auto"/>
        <w:ind w:right="1125"/>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机关事业单位职业年金缴费支出（项）年初预算为 </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w:t>
      </w:r>
    </w:p>
    <w:p w14:paraId="796CA01B">
      <w:pPr>
        <w:pStyle w:val="4"/>
        <w:keepNext w:val="0"/>
        <w:keepLines w:val="0"/>
        <w:pageBreakBefore w:val="0"/>
        <w:widowControl w:val="0"/>
        <w:kinsoku/>
        <w:wordWrap/>
        <w:overflowPunct/>
        <w:topLinePunct w:val="0"/>
        <w:autoSpaceDE w:val="0"/>
        <w:autoSpaceDN w:val="0"/>
        <w:bidi w:val="0"/>
        <w:adjustRightInd/>
        <w:snapToGrid/>
        <w:spacing w:before="67" w:line="255" w:lineRule="auto"/>
        <w:ind w:left="1800" w:right="1422"/>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支出决算为 0 万元。</w:t>
      </w:r>
    </w:p>
    <w:p w14:paraId="73196F4A">
      <w:pPr>
        <w:pStyle w:val="3"/>
        <w:keepNext w:val="0"/>
        <w:keepLines w:val="0"/>
        <w:pageBreakBefore w:val="0"/>
        <w:widowControl w:val="0"/>
        <w:numPr>
          <w:ilvl w:val="0"/>
          <w:numId w:val="0"/>
        </w:numPr>
        <w:tabs>
          <w:tab w:val="left" w:pos="242"/>
        </w:tabs>
        <w:kinsoku/>
        <w:wordWrap/>
        <w:overflowPunct/>
        <w:topLinePunct w:val="0"/>
        <w:autoSpaceDE w:val="0"/>
        <w:autoSpaceDN w:val="0"/>
        <w:bidi w:val="0"/>
        <w:adjustRightInd/>
        <w:snapToGrid/>
        <w:spacing w:line="255" w:lineRule="auto"/>
        <w:ind w:left="-1" w:leftChars="0" w:right="1286" w:rightChars="0"/>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6"/>
          <w:sz w:val="32"/>
          <w:szCs w:val="32"/>
          <w:lang w:val="en-US" w:eastAsia="zh-CN"/>
        </w:rPr>
        <w:t>3.</w:t>
      </w:r>
      <w:r>
        <w:rPr>
          <w:rFonts w:hint="eastAsia" w:ascii="仿宋_GB2312" w:hAnsi="仿宋_GB2312" w:eastAsia="仿宋_GB2312" w:cs="仿宋_GB2312"/>
          <w:b w:val="0"/>
          <w:bCs w:val="0"/>
          <w:spacing w:val="-6"/>
          <w:sz w:val="32"/>
          <w:szCs w:val="32"/>
        </w:rPr>
        <w:t>卫生健康</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pacing w:val="-19"/>
          <w:sz w:val="32"/>
          <w:szCs w:val="32"/>
        </w:rPr>
        <w:t>）</w:t>
      </w:r>
      <w:r>
        <w:rPr>
          <w:rFonts w:hint="eastAsia" w:ascii="仿宋_GB2312" w:hAnsi="仿宋_GB2312" w:eastAsia="仿宋_GB2312" w:cs="仿宋_GB2312"/>
          <w:b w:val="0"/>
          <w:bCs w:val="0"/>
          <w:spacing w:val="-3"/>
          <w:sz w:val="32"/>
          <w:szCs w:val="32"/>
        </w:rPr>
        <w:t>行政事业单位医疗</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pacing w:val="-19"/>
          <w:sz w:val="32"/>
          <w:szCs w:val="32"/>
        </w:rPr>
        <w:t>）</w:t>
      </w:r>
      <w:r>
        <w:rPr>
          <w:rFonts w:hint="eastAsia" w:ascii="仿宋_GB2312" w:hAnsi="仿宋_GB2312" w:eastAsia="仿宋_GB2312" w:cs="仿宋_GB2312"/>
          <w:b w:val="0"/>
          <w:bCs w:val="0"/>
          <w:sz w:val="32"/>
          <w:szCs w:val="32"/>
        </w:rPr>
        <w:t>其他行政事业单</w:t>
      </w:r>
    </w:p>
    <w:p w14:paraId="40986B32">
      <w:pPr>
        <w:keepNext w:val="0"/>
        <w:keepLines w:val="0"/>
        <w:pageBreakBefore w:val="0"/>
        <w:widowControl w:val="0"/>
        <w:kinsoku/>
        <w:wordWrap/>
        <w:overflowPunct/>
        <w:topLinePunct w:val="0"/>
        <w:autoSpaceDE w:val="0"/>
        <w:autoSpaceDN w:val="0"/>
        <w:bidi w:val="0"/>
        <w:adjustRightInd/>
        <w:snapToGrid/>
        <w:spacing w:before="36" w:line="255" w:lineRule="auto"/>
        <w:ind w:left="18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5"/>
          <w:sz w:val="32"/>
          <w:szCs w:val="32"/>
        </w:rPr>
        <w:t>位医疗支出</w:t>
      </w: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spacing w:val="-75"/>
          <w:sz w:val="32"/>
          <w:szCs w:val="32"/>
        </w:rPr>
        <w:t>）</w:t>
      </w:r>
      <w:r>
        <w:rPr>
          <w:rFonts w:hint="eastAsia" w:ascii="仿宋_GB2312" w:hAnsi="仿宋_GB2312" w:eastAsia="仿宋_GB2312" w:cs="仿宋_GB2312"/>
          <w:b w:val="0"/>
          <w:bCs w:val="0"/>
          <w:spacing w:val="-2"/>
          <w:sz w:val="32"/>
          <w:szCs w:val="32"/>
        </w:rPr>
        <w:t xml:space="preserve">年初预算为 </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pacing w:val="-11"/>
          <w:sz w:val="32"/>
          <w:szCs w:val="32"/>
        </w:rPr>
        <w:t>万元，支出决算为</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万元，</w:t>
      </w:r>
    </w:p>
    <w:p w14:paraId="3046CC0F">
      <w:pPr>
        <w:keepNext w:val="0"/>
        <w:keepLines w:val="0"/>
        <w:pageBreakBefore w:val="0"/>
        <w:widowControl w:val="0"/>
        <w:kinsoku/>
        <w:wordWrap/>
        <w:overflowPunct/>
        <w:topLinePunct w:val="0"/>
        <w:autoSpaceDE w:val="0"/>
        <w:autoSpaceDN w:val="0"/>
        <w:bidi w:val="0"/>
        <w:adjustRightInd/>
        <w:snapToGrid/>
        <w:spacing w:line="255" w:lineRule="auto"/>
        <w:textAlignment w:val="auto"/>
        <w:rPr>
          <w:b w:val="0"/>
          <w:bCs w:val="0"/>
          <w:sz w:val="32"/>
        </w:rPr>
        <w:sectPr>
          <w:footerReference r:id="rId5" w:type="default"/>
          <w:pgSz w:w="11910" w:h="16840"/>
          <w:pgMar w:top="1580" w:right="0" w:bottom="1080" w:left="0" w:header="0" w:footer="895" w:gutter="0"/>
          <w:pgNumType w:start="20"/>
          <w:cols w:space="720" w:num="1"/>
        </w:sectPr>
      </w:pPr>
    </w:p>
    <w:p w14:paraId="629C7118">
      <w:pPr>
        <w:pStyle w:val="4"/>
        <w:keepNext w:val="0"/>
        <w:keepLines w:val="0"/>
        <w:pageBreakBefore w:val="0"/>
        <w:widowControl w:val="0"/>
        <w:kinsoku/>
        <w:wordWrap/>
        <w:overflowPunct/>
        <w:topLinePunct w:val="0"/>
        <w:autoSpaceDE w:val="0"/>
        <w:autoSpaceDN w:val="0"/>
        <w:bidi w:val="0"/>
        <w:adjustRightInd/>
        <w:snapToGrid/>
        <w:spacing w:before="67" w:line="255" w:lineRule="auto"/>
        <w:ind w:left="18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完成年初预算的</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w:t>
      </w:r>
    </w:p>
    <w:p w14:paraId="540879B2">
      <w:pPr>
        <w:pStyle w:val="9"/>
        <w:keepNext w:val="0"/>
        <w:keepLines w:val="0"/>
        <w:pageBreakBefore w:val="0"/>
        <w:widowControl w:val="0"/>
        <w:numPr>
          <w:ilvl w:val="2"/>
          <w:numId w:val="0"/>
        </w:numPr>
        <w:tabs>
          <w:tab w:val="left" w:pos="2681"/>
        </w:tabs>
        <w:kinsoku/>
        <w:wordWrap/>
        <w:overflowPunct/>
        <w:topLinePunct w:val="0"/>
        <w:autoSpaceDE w:val="0"/>
        <w:autoSpaceDN w:val="0"/>
        <w:bidi w:val="0"/>
        <w:adjustRightInd/>
        <w:snapToGrid/>
        <w:spacing w:before="25" w:line="255" w:lineRule="auto"/>
        <w:ind w:left="1803" w:right="1287" w:rightChars="0" w:firstLine="641"/>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spacing w:val="-3"/>
          <w:sz w:val="32"/>
          <w:szCs w:val="32"/>
          <w:lang w:val="en-US" w:eastAsia="zh-CN"/>
        </w:rPr>
        <w:t>4.</w:t>
      </w:r>
      <w:r>
        <w:rPr>
          <w:rFonts w:hint="eastAsia" w:ascii="仿宋_GB2312" w:hAnsi="仿宋_GB2312" w:eastAsia="仿宋_GB2312" w:cs="仿宋_GB2312"/>
          <w:b w:val="0"/>
          <w:bCs/>
          <w:spacing w:val="-3"/>
          <w:sz w:val="32"/>
          <w:szCs w:val="32"/>
        </w:rPr>
        <w:t>住房保障</w:t>
      </w:r>
      <w:r>
        <w:rPr>
          <w:rFonts w:hint="eastAsia" w:ascii="仿宋_GB2312" w:hAnsi="仿宋_GB2312" w:eastAsia="仿宋_GB2312" w:cs="仿宋_GB2312"/>
          <w:b w:val="0"/>
          <w:bCs/>
          <w:sz w:val="32"/>
          <w:szCs w:val="32"/>
        </w:rPr>
        <w:t>（类</w:t>
      </w:r>
      <w:r>
        <w:rPr>
          <w:rFonts w:hint="eastAsia" w:ascii="仿宋_GB2312" w:hAnsi="仿宋_GB2312" w:eastAsia="仿宋_GB2312" w:cs="仿宋_GB2312"/>
          <w:b w:val="0"/>
          <w:bCs/>
          <w:spacing w:val="-10"/>
          <w:sz w:val="32"/>
          <w:szCs w:val="32"/>
        </w:rPr>
        <w:t>）</w:t>
      </w:r>
      <w:r>
        <w:rPr>
          <w:rFonts w:hint="eastAsia" w:ascii="仿宋_GB2312" w:hAnsi="仿宋_GB2312" w:eastAsia="仿宋_GB2312" w:cs="仿宋_GB2312"/>
          <w:b w:val="0"/>
          <w:bCs/>
          <w:spacing w:val="-3"/>
          <w:sz w:val="32"/>
          <w:szCs w:val="32"/>
        </w:rPr>
        <w:t>住房改革</w:t>
      </w:r>
      <w:r>
        <w:rPr>
          <w:rFonts w:hint="eastAsia" w:ascii="仿宋_GB2312" w:hAnsi="仿宋_GB2312" w:eastAsia="仿宋_GB2312" w:cs="仿宋_GB2312"/>
          <w:b w:val="0"/>
          <w:bCs/>
          <w:sz w:val="32"/>
          <w:szCs w:val="32"/>
        </w:rPr>
        <w:t>（款</w:t>
      </w:r>
      <w:r>
        <w:rPr>
          <w:rFonts w:hint="eastAsia" w:ascii="仿宋_GB2312" w:hAnsi="仿宋_GB2312" w:eastAsia="仿宋_GB2312" w:cs="仿宋_GB2312"/>
          <w:b w:val="0"/>
          <w:bCs/>
          <w:spacing w:val="-12"/>
          <w:sz w:val="32"/>
          <w:szCs w:val="32"/>
        </w:rPr>
        <w:t>）</w:t>
      </w:r>
      <w:r>
        <w:rPr>
          <w:rFonts w:hint="eastAsia" w:ascii="仿宋_GB2312" w:hAnsi="仿宋_GB2312" w:eastAsia="仿宋_GB2312" w:cs="仿宋_GB2312"/>
          <w:b w:val="0"/>
          <w:bCs/>
          <w:spacing w:val="-2"/>
          <w:sz w:val="32"/>
          <w:szCs w:val="32"/>
        </w:rPr>
        <w:t>住房公积金</w:t>
      </w:r>
      <w:r>
        <w:rPr>
          <w:rFonts w:hint="eastAsia" w:ascii="仿宋_GB2312" w:hAnsi="仿宋_GB2312" w:eastAsia="仿宋_GB2312" w:cs="仿宋_GB2312"/>
          <w:b w:val="0"/>
          <w:bCs/>
          <w:sz w:val="32"/>
          <w:szCs w:val="32"/>
        </w:rPr>
        <w:t>（项</w:t>
      </w:r>
      <w:r>
        <w:rPr>
          <w:rFonts w:hint="eastAsia" w:ascii="仿宋_GB2312" w:hAnsi="仿宋_GB2312" w:eastAsia="仿宋_GB2312" w:cs="仿宋_GB2312"/>
          <w:b w:val="0"/>
          <w:bCs/>
          <w:spacing w:val="-10"/>
          <w:sz w:val="32"/>
          <w:szCs w:val="32"/>
        </w:rPr>
        <w:t>）</w:t>
      </w:r>
      <w:r>
        <w:rPr>
          <w:rFonts w:hint="eastAsia" w:ascii="仿宋_GB2312" w:hAnsi="仿宋_GB2312" w:eastAsia="仿宋_GB2312" w:cs="仿宋_GB2312"/>
          <w:b w:val="0"/>
          <w:bCs/>
          <w:spacing w:val="-12"/>
          <w:sz w:val="32"/>
          <w:szCs w:val="32"/>
        </w:rPr>
        <w:t>。</w:t>
      </w:r>
      <w:r>
        <w:rPr>
          <w:rFonts w:hint="eastAsia" w:ascii="仿宋_GB2312" w:hAnsi="仿宋_GB2312" w:eastAsia="仿宋_GB2312" w:cs="仿宋_GB2312"/>
          <w:sz w:val="32"/>
          <w:szCs w:val="32"/>
        </w:rPr>
        <w:t>年初</w:t>
      </w:r>
      <w:r>
        <w:rPr>
          <w:rFonts w:hint="eastAsia" w:ascii="仿宋_GB2312" w:hAnsi="仿宋_GB2312" w:eastAsia="仿宋_GB2312" w:cs="仿宋_GB2312"/>
          <w:spacing w:val="-4"/>
          <w:sz w:val="32"/>
          <w:szCs w:val="32"/>
        </w:rPr>
        <w:t xml:space="preserve">预算为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pacing w:val="-2"/>
          <w:sz w:val="32"/>
          <w:szCs w:val="32"/>
        </w:rPr>
        <w:t>万元，支出决算为</w:t>
      </w:r>
      <w:r>
        <w:rPr>
          <w:rFonts w:hint="eastAsia" w:ascii="仿宋_GB2312" w:hAnsi="仿宋_GB2312" w:eastAsia="仿宋_GB2312" w:cs="仿宋_GB2312"/>
          <w:spacing w:val="-2"/>
          <w:sz w:val="32"/>
          <w:szCs w:val="32"/>
          <w:lang w:val="en-US"/>
        </w:rPr>
        <w:t>0</w:t>
      </w:r>
      <w:r>
        <w:rPr>
          <w:rFonts w:hint="eastAsia" w:ascii="仿宋_GB2312" w:hAnsi="仿宋_GB2312" w:eastAsia="仿宋_GB2312" w:cs="仿宋_GB2312"/>
          <w:sz w:val="32"/>
          <w:szCs w:val="32"/>
        </w:rPr>
        <w:t>万元，完成年初预算</w:t>
      </w:r>
      <w:r>
        <w:rPr>
          <w:rFonts w:hint="eastAsia" w:ascii="仿宋_GB2312" w:hAnsi="仿宋_GB2312" w:eastAsia="仿宋_GB2312" w:cs="仿宋_GB2312"/>
          <w:spacing w:val="-5"/>
          <w:sz w:val="32"/>
          <w:szCs w:val="32"/>
        </w:rPr>
        <w:t xml:space="preserve">的 </w:t>
      </w:r>
      <w:r>
        <w:rPr>
          <w:rFonts w:hint="eastAsia" w:ascii="仿宋_GB2312" w:hAnsi="仿宋_GB2312" w:eastAsia="仿宋_GB2312" w:cs="仿宋_GB2312"/>
          <w:sz w:val="32"/>
          <w:szCs w:val="32"/>
          <w:lang w:val="en-US"/>
        </w:rPr>
        <w:t>0</w:t>
      </w:r>
      <w:r>
        <w:rPr>
          <w:rFonts w:hint="eastAsia" w:ascii="仿宋_GB2312" w:hAnsi="仿宋_GB2312" w:eastAsia="仿宋_GB2312" w:cs="仿宋_GB2312"/>
          <w:sz w:val="32"/>
          <w:szCs w:val="32"/>
        </w:rPr>
        <w:t>%。</w:t>
      </w:r>
    </w:p>
    <w:p w14:paraId="00632924">
      <w:pPr>
        <w:pStyle w:val="3"/>
        <w:keepNext w:val="0"/>
        <w:keepLines w:val="0"/>
        <w:pageBreakBefore w:val="0"/>
        <w:widowControl w:val="0"/>
        <w:numPr>
          <w:ilvl w:val="0"/>
          <w:numId w:val="0"/>
        </w:numPr>
        <w:tabs>
          <w:tab w:val="left" w:pos="2681"/>
        </w:tabs>
        <w:kinsoku/>
        <w:wordWrap/>
        <w:overflowPunct/>
        <w:topLinePunct w:val="0"/>
        <w:autoSpaceDE w:val="0"/>
        <w:autoSpaceDN w:val="0"/>
        <w:bidi w:val="0"/>
        <w:adjustRightInd/>
        <w:snapToGrid/>
        <w:spacing w:line="255" w:lineRule="auto"/>
        <w:ind w:left="2439" w:lef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10"/>
          <w:sz w:val="32"/>
          <w:szCs w:val="32"/>
          <w:lang w:val="en-US" w:eastAsia="zh-CN"/>
        </w:rPr>
        <w:t>5.</w:t>
      </w:r>
      <w:r>
        <w:rPr>
          <w:rFonts w:hint="eastAsia" w:ascii="仿宋_GB2312" w:hAnsi="仿宋_GB2312" w:eastAsia="仿宋_GB2312" w:cs="仿宋_GB2312"/>
          <w:b w:val="0"/>
          <w:bCs w:val="0"/>
          <w:spacing w:val="-10"/>
          <w:sz w:val="32"/>
          <w:szCs w:val="32"/>
        </w:rPr>
        <w:t>灾害防治及应急管理</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pacing w:val="-82"/>
          <w:sz w:val="32"/>
          <w:szCs w:val="32"/>
        </w:rPr>
        <w:t>）</w:t>
      </w:r>
      <w:r>
        <w:rPr>
          <w:rFonts w:hint="eastAsia" w:ascii="仿宋_GB2312" w:hAnsi="仿宋_GB2312" w:eastAsia="仿宋_GB2312" w:cs="仿宋_GB2312"/>
          <w:b w:val="0"/>
          <w:bCs w:val="0"/>
          <w:spacing w:val="-21"/>
          <w:sz w:val="32"/>
          <w:szCs w:val="32"/>
        </w:rPr>
        <w:t>消防事务</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pacing w:val="-82"/>
          <w:sz w:val="32"/>
          <w:szCs w:val="32"/>
        </w:rPr>
        <w:t>）</w:t>
      </w:r>
      <w:r>
        <w:rPr>
          <w:rFonts w:hint="eastAsia" w:ascii="仿宋_GB2312" w:hAnsi="仿宋_GB2312" w:eastAsia="仿宋_GB2312" w:cs="仿宋_GB2312"/>
          <w:b w:val="0"/>
          <w:bCs w:val="0"/>
          <w:spacing w:val="-21"/>
          <w:sz w:val="32"/>
          <w:szCs w:val="32"/>
        </w:rPr>
        <w:t>行政运行</w:t>
      </w: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spacing w:val="-159"/>
          <w:sz w:val="32"/>
          <w:szCs w:val="32"/>
        </w:rPr>
        <w:t>）</w:t>
      </w:r>
      <w:r>
        <w:rPr>
          <w:rFonts w:hint="eastAsia" w:ascii="仿宋_GB2312" w:hAnsi="仿宋_GB2312" w:eastAsia="仿宋_GB2312" w:cs="仿宋_GB2312"/>
          <w:b w:val="0"/>
          <w:bCs w:val="0"/>
          <w:sz w:val="32"/>
          <w:szCs w:val="32"/>
        </w:rPr>
        <w:t>。</w:t>
      </w:r>
    </w:p>
    <w:p w14:paraId="18A19339">
      <w:pPr>
        <w:pStyle w:val="4"/>
        <w:keepNext w:val="0"/>
        <w:keepLines w:val="0"/>
        <w:pageBreakBefore w:val="0"/>
        <w:widowControl w:val="0"/>
        <w:kinsoku/>
        <w:wordWrap/>
        <w:overflowPunct/>
        <w:topLinePunct w:val="0"/>
        <w:autoSpaceDE w:val="0"/>
        <w:autoSpaceDN w:val="0"/>
        <w:bidi w:val="0"/>
        <w:adjustRightInd/>
        <w:snapToGrid/>
        <w:spacing w:before="8" w:line="255" w:lineRule="auto"/>
        <w:ind w:left="1800" w:right="1284"/>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2"/>
          <w:sz w:val="32"/>
          <w:szCs w:val="32"/>
        </w:rPr>
        <w:t xml:space="preserve">年初预算为 </w:t>
      </w:r>
      <w:r>
        <w:rPr>
          <w:rFonts w:hint="eastAsia" w:ascii="仿宋_GB2312" w:hAnsi="仿宋_GB2312" w:eastAsia="仿宋_GB2312" w:cs="仿宋_GB2312"/>
          <w:b w:val="0"/>
          <w:bCs w:val="0"/>
          <w:sz w:val="32"/>
          <w:szCs w:val="32"/>
          <w:lang w:val="en-US" w:eastAsia="zh-CN"/>
        </w:rPr>
        <w:t>3.5</w:t>
      </w:r>
      <w:r>
        <w:rPr>
          <w:rFonts w:hint="eastAsia" w:ascii="仿宋_GB2312" w:hAnsi="仿宋_GB2312" w:eastAsia="仿宋_GB2312" w:cs="仿宋_GB2312"/>
          <w:b w:val="0"/>
          <w:bCs w:val="0"/>
          <w:spacing w:val="-12"/>
          <w:sz w:val="32"/>
          <w:szCs w:val="32"/>
        </w:rPr>
        <w:t xml:space="preserve">万元，支出决算为 </w:t>
      </w:r>
      <w:r>
        <w:rPr>
          <w:rFonts w:hint="eastAsia" w:ascii="仿宋_GB2312" w:hAnsi="仿宋_GB2312" w:eastAsia="仿宋_GB2312" w:cs="仿宋_GB2312"/>
          <w:b w:val="0"/>
          <w:bCs w:val="0"/>
          <w:sz w:val="32"/>
          <w:szCs w:val="32"/>
          <w:lang w:val="en-US" w:eastAsia="zh-CN"/>
        </w:rPr>
        <w:t>3.5</w:t>
      </w:r>
      <w:r>
        <w:rPr>
          <w:rFonts w:hint="eastAsia" w:ascii="仿宋_GB2312" w:hAnsi="仿宋_GB2312" w:eastAsia="仿宋_GB2312" w:cs="仿宋_GB2312"/>
          <w:b w:val="0"/>
          <w:bCs w:val="0"/>
          <w:spacing w:val="-12"/>
          <w:sz w:val="32"/>
          <w:szCs w:val="32"/>
        </w:rPr>
        <w:t>万元，完成年初</w:t>
      </w:r>
      <w:r>
        <w:rPr>
          <w:rFonts w:hint="eastAsia" w:ascii="仿宋_GB2312" w:hAnsi="仿宋_GB2312" w:eastAsia="仿宋_GB2312" w:cs="仿宋_GB2312"/>
          <w:b w:val="0"/>
          <w:bCs w:val="0"/>
          <w:spacing w:val="-13"/>
          <w:sz w:val="32"/>
          <w:szCs w:val="32"/>
        </w:rPr>
        <w:t xml:space="preserve">预算的 </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rPr>
        <w:t>%。</w:t>
      </w:r>
    </w:p>
    <w:p w14:paraId="3B382D64">
      <w:pPr>
        <w:pStyle w:val="3"/>
        <w:keepNext w:val="0"/>
        <w:keepLines w:val="0"/>
        <w:pageBreakBefore w:val="0"/>
        <w:widowControl w:val="0"/>
        <w:numPr>
          <w:ilvl w:val="0"/>
          <w:numId w:val="0"/>
        </w:numPr>
        <w:tabs>
          <w:tab w:val="left" w:pos="2681"/>
        </w:tabs>
        <w:kinsoku/>
        <w:wordWrap/>
        <w:overflowPunct/>
        <w:topLinePunct w:val="0"/>
        <w:autoSpaceDE w:val="0"/>
        <w:autoSpaceDN w:val="0"/>
        <w:bidi w:val="0"/>
        <w:adjustRightInd/>
        <w:snapToGrid/>
        <w:spacing w:line="255" w:lineRule="auto"/>
        <w:ind w:left="2439" w:lef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3"/>
          <w:sz w:val="32"/>
          <w:szCs w:val="32"/>
          <w:lang w:val="en-US" w:eastAsia="zh-CN"/>
        </w:rPr>
        <w:t>6.</w:t>
      </w:r>
      <w:r>
        <w:rPr>
          <w:rFonts w:hint="eastAsia" w:ascii="仿宋_GB2312" w:hAnsi="仿宋_GB2312" w:eastAsia="仿宋_GB2312" w:cs="仿宋_GB2312"/>
          <w:b w:val="0"/>
          <w:bCs w:val="0"/>
          <w:spacing w:val="-3"/>
          <w:sz w:val="32"/>
          <w:szCs w:val="32"/>
        </w:rPr>
        <w:t>灾害防治及应急管理</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pacing w:val="-19"/>
          <w:sz w:val="32"/>
          <w:szCs w:val="32"/>
        </w:rPr>
        <w:t>）</w:t>
      </w:r>
      <w:r>
        <w:rPr>
          <w:rFonts w:hint="eastAsia" w:ascii="仿宋_GB2312" w:hAnsi="仿宋_GB2312" w:eastAsia="仿宋_GB2312" w:cs="仿宋_GB2312"/>
          <w:b w:val="0"/>
          <w:bCs w:val="0"/>
          <w:spacing w:val="-6"/>
          <w:sz w:val="32"/>
          <w:szCs w:val="32"/>
        </w:rPr>
        <w:t>消防事务</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pacing w:val="-19"/>
          <w:sz w:val="32"/>
          <w:szCs w:val="32"/>
        </w:rPr>
        <w:t>）</w:t>
      </w:r>
      <w:r>
        <w:rPr>
          <w:rFonts w:hint="eastAsia" w:ascii="仿宋_GB2312" w:hAnsi="仿宋_GB2312" w:eastAsia="仿宋_GB2312" w:cs="仿宋_GB2312"/>
          <w:b w:val="0"/>
          <w:bCs w:val="0"/>
          <w:sz w:val="32"/>
          <w:szCs w:val="32"/>
        </w:rPr>
        <w:t>消防应急救援</w:t>
      </w:r>
    </w:p>
    <w:p w14:paraId="1BCB6878">
      <w:pPr>
        <w:pStyle w:val="4"/>
        <w:keepNext w:val="0"/>
        <w:keepLines w:val="0"/>
        <w:pageBreakBefore w:val="0"/>
        <w:widowControl w:val="0"/>
        <w:kinsoku/>
        <w:wordWrap/>
        <w:overflowPunct/>
        <w:topLinePunct w:val="0"/>
        <w:autoSpaceDE w:val="0"/>
        <w:autoSpaceDN w:val="0"/>
        <w:bidi w:val="0"/>
        <w:adjustRightInd/>
        <w:snapToGrid/>
        <w:spacing w:line="255" w:lineRule="auto"/>
        <w:ind w:left="1800" w:right="1286"/>
        <w:jc w:val="both"/>
        <w:textAlignment w:val="auto"/>
        <w:rPr>
          <w:highlight w:val="yellow"/>
        </w:rPr>
      </w:pP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spacing w:val="-34"/>
          <w:sz w:val="32"/>
          <w:szCs w:val="32"/>
        </w:rPr>
        <w:t>）。</w:t>
      </w:r>
      <w:r>
        <w:rPr>
          <w:rFonts w:hint="eastAsia" w:ascii="仿宋_GB2312" w:hAnsi="仿宋_GB2312" w:eastAsia="仿宋_GB2312" w:cs="仿宋_GB2312"/>
          <w:b w:val="0"/>
          <w:bCs w:val="0"/>
          <w:spacing w:val="-3"/>
          <w:sz w:val="32"/>
          <w:szCs w:val="32"/>
        </w:rPr>
        <w:t xml:space="preserve">年初预算为 </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pacing w:val="-7"/>
          <w:sz w:val="32"/>
          <w:szCs w:val="32"/>
        </w:rPr>
        <w:t xml:space="preserve">万元，支出决算为 </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pacing w:val="-8"/>
          <w:sz w:val="32"/>
          <w:szCs w:val="32"/>
        </w:rPr>
        <w:t>万元。</w:t>
      </w:r>
    </w:p>
    <w:p w14:paraId="1E1519EA">
      <w:pPr>
        <w:pStyle w:val="4"/>
        <w:spacing w:line="536" w:lineRule="exact"/>
        <w:ind w:left="2428"/>
      </w:pPr>
      <w:r>
        <w:rPr>
          <w:rFonts w:hint="eastAsia" w:ascii="黑体" w:hAnsi="黑体" w:eastAsia="黑体" w:cs="黑体"/>
        </w:rPr>
        <w:t>六、一般公共预算财政拨款基本支出决算情况说明</w:t>
      </w:r>
    </w:p>
    <w:p w14:paraId="6AAB4C42">
      <w:pPr>
        <w:pStyle w:val="4"/>
        <w:spacing w:line="232" w:lineRule="auto"/>
        <w:ind w:left="1814" w:right="113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年度财政拨款基本支出 </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办公</w:t>
      </w:r>
      <w:r>
        <w:rPr>
          <w:rFonts w:hint="eastAsia" w:ascii="仿宋_GB2312" w:hAnsi="仿宋_GB2312" w:eastAsia="仿宋_GB2312" w:cs="仿宋_GB2312"/>
          <w:spacing w:val="-13"/>
          <w:sz w:val="32"/>
          <w:szCs w:val="32"/>
        </w:rPr>
        <w:t xml:space="preserve">经费 </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万元，主要包括</w:t>
      </w:r>
      <w:r>
        <w:rPr>
          <w:rFonts w:hint="eastAsia" w:ascii="仿宋_GB2312" w:hAnsi="仿宋_GB2312" w:eastAsia="仿宋_GB2312" w:cs="仿宋_GB2312"/>
          <w:sz w:val="32"/>
          <w:szCs w:val="32"/>
          <w:lang w:eastAsia="zh-CN"/>
        </w:rPr>
        <w:t>办公费</w:t>
      </w:r>
      <w:r>
        <w:rPr>
          <w:rFonts w:hint="default" w:ascii="仿宋_GB2312" w:hAnsi="仿宋_GB2312" w:eastAsia="仿宋_GB2312" w:cs="仿宋_GB2312"/>
          <w:sz w:val="32"/>
          <w:szCs w:val="32"/>
          <w:lang w:eastAsia="zh-CN"/>
        </w:rPr>
        <w:t>和其他商品和服务</w:t>
      </w:r>
      <w:r>
        <w:rPr>
          <w:rFonts w:hint="eastAsia" w:ascii="仿宋_GB2312" w:hAnsi="仿宋_GB2312" w:eastAsia="仿宋_GB2312" w:cs="仿宋_GB2312"/>
          <w:spacing w:val="-13"/>
          <w:sz w:val="32"/>
          <w:szCs w:val="32"/>
        </w:rPr>
        <w:t>支出。</w:t>
      </w:r>
      <w:bookmarkStart w:id="0" w:name="_GoBack"/>
      <w:bookmarkEnd w:id="0"/>
    </w:p>
    <w:p w14:paraId="7FFD968D">
      <w:pPr>
        <w:pStyle w:val="4"/>
        <w:spacing w:line="514" w:lineRule="exact"/>
        <w:ind w:left="2440"/>
      </w:pPr>
      <w:r>
        <w:rPr>
          <w:rFonts w:hint="eastAsia" w:ascii="黑体" w:hAnsi="黑体" w:eastAsia="黑体" w:cs="黑体"/>
        </w:rPr>
        <w:t>七、财政拨款“三公”经费支出决算情况说明</w:t>
      </w:r>
    </w:p>
    <w:p w14:paraId="497533CE">
      <w:pPr>
        <w:pStyle w:val="3"/>
        <w:spacing w:line="556" w:lineRule="exact"/>
      </w:pPr>
      <w:r>
        <w:rPr>
          <w:rFonts w:hint="eastAsia" w:ascii="华文楷体" w:hAnsi="华文楷体" w:eastAsia="华文楷体" w:cstheme="minorBidi"/>
          <w:b w:val="0"/>
          <w:bCs w:val="0"/>
          <w:kern w:val="2"/>
          <w:sz w:val="32"/>
          <w:szCs w:val="32"/>
          <w:lang w:val="en-US" w:eastAsia="zh-CN" w:bidi="ar-SA"/>
        </w:rPr>
        <w:t>（一）“三公”经费财政拨款支出决算总体情况说明</w:t>
      </w:r>
    </w:p>
    <w:p w14:paraId="460EC663">
      <w:pPr>
        <w:pStyle w:val="4"/>
        <w:spacing w:line="232" w:lineRule="auto"/>
        <w:ind w:left="1800" w:right="1286"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年度“三公”</w:t>
      </w:r>
      <w:r>
        <w:rPr>
          <w:rFonts w:hint="eastAsia" w:ascii="仿宋_GB2312" w:hAnsi="仿宋_GB2312" w:eastAsia="仿宋_GB2312" w:cs="仿宋_GB2312"/>
          <w:spacing w:val="-1"/>
          <w:sz w:val="32"/>
          <w:szCs w:val="32"/>
        </w:rPr>
        <w:t>经费财政拨款支出预算为</w:t>
      </w:r>
      <w:r>
        <w:rPr>
          <w:rFonts w:hint="eastAsia" w:ascii="仿宋_GB2312" w:hAnsi="仿宋_GB2312" w:eastAsia="仿宋_GB2312" w:cs="仿宋_GB2312"/>
          <w:spacing w:val="-1"/>
          <w:sz w:val="32"/>
          <w:szCs w:val="32"/>
          <w:lang w:val="en-US" w:eastAsia="zh-CN"/>
        </w:rPr>
        <w:t>0</w:t>
      </w:r>
      <w:r>
        <w:rPr>
          <w:rFonts w:hint="eastAsia" w:ascii="仿宋_GB2312" w:hAnsi="仿宋_GB2312" w:eastAsia="仿宋_GB2312" w:cs="仿宋_GB2312"/>
          <w:spacing w:val="-22"/>
          <w:sz w:val="32"/>
          <w:szCs w:val="32"/>
        </w:rPr>
        <w:t>万元，支出</w:t>
      </w:r>
      <w:r>
        <w:rPr>
          <w:rFonts w:hint="eastAsia" w:ascii="仿宋_GB2312" w:hAnsi="仿宋_GB2312" w:eastAsia="仿宋_GB2312" w:cs="仿宋_GB2312"/>
          <w:spacing w:val="-20"/>
          <w:sz w:val="32"/>
          <w:szCs w:val="32"/>
        </w:rPr>
        <w:t xml:space="preserve">决算为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pacing w:val="-1"/>
          <w:sz w:val="32"/>
          <w:szCs w:val="32"/>
        </w:rPr>
        <w:t xml:space="preserve">万元，完成预算的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236D4FE5">
      <w:pPr>
        <w:spacing w:line="232" w:lineRule="auto"/>
        <w:jc w:val="both"/>
        <w:sectPr>
          <w:pgSz w:w="11910" w:h="16840"/>
          <w:pgMar w:top="1480" w:right="0" w:bottom="1160" w:left="0" w:header="0" w:footer="895" w:gutter="0"/>
          <w:cols w:space="720" w:num="1"/>
        </w:sectPr>
      </w:pPr>
    </w:p>
    <w:p w14:paraId="5A028351">
      <w:pPr>
        <w:pStyle w:val="3"/>
        <w:spacing w:line="494" w:lineRule="exact"/>
        <w:ind w:left="38"/>
        <w:jc w:val="center"/>
      </w:pPr>
      <w:r>
        <w:rPr>
          <w:rFonts w:hint="eastAsia" w:ascii="华文楷体" w:hAnsi="华文楷体" w:eastAsia="华文楷体" w:cstheme="minorBidi"/>
          <w:b w:val="0"/>
          <w:bCs w:val="0"/>
          <w:kern w:val="2"/>
          <w:sz w:val="32"/>
          <w:szCs w:val="32"/>
          <w:lang w:val="en-US" w:eastAsia="zh-CN" w:bidi="ar-SA"/>
        </w:rPr>
        <w:t>（二）“三公”经费财政拨款支出决算具体情况说明</w:t>
      </w:r>
    </w:p>
    <w:p w14:paraId="141FBCC4">
      <w:pPr>
        <w:pStyle w:val="9"/>
        <w:numPr>
          <w:ilvl w:val="0"/>
          <w:numId w:val="2"/>
        </w:numPr>
        <w:tabs>
          <w:tab w:val="left" w:pos="2683"/>
        </w:tabs>
        <w:spacing w:line="545" w:lineRule="exact"/>
        <w:ind w:hanging="243"/>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公务用车购置及运行费</w:t>
      </w:r>
      <w:r>
        <w:rPr>
          <w:rFonts w:hint="eastAsia" w:ascii="仿宋_GB2312" w:hAnsi="仿宋_GB2312" w:eastAsia="仿宋_GB2312" w:cs="仿宋_GB2312"/>
          <w:b w:val="0"/>
          <w:bCs/>
          <w:spacing w:val="-3"/>
          <w:sz w:val="32"/>
          <w:szCs w:val="32"/>
        </w:rPr>
        <w:t xml:space="preserve">预算为 </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万元，支出决算为</w:t>
      </w:r>
    </w:p>
    <w:p w14:paraId="3C431667">
      <w:pPr>
        <w:pStyle w:val="4"/>
        <w:spacing w:line="228" w:lineRule="auto"/>
        <w:ind w:left="1800" w:right="1284"/>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pacing w:val="7"/>
          <w:sz w:val="32"/>
          <w:szCs w:val="32"/>
        </w:rPr>
        <w:t xml:space="preserve">万元，完成预算的 </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w:t>
      </w:r>
    </w:p>
    <w:p w14:paraId="4FAF8055">
      <w:pPr>
        <w:pStyle w:val="9"/>
        <w:numPr>
          <w:ilvl w:val="0"/>
          <w:numId w:val="2"/>
        </w:numPr>
        <w:tabs>
          <w:tab w:val="left" w:pos="2683"/>
        </w:tabs>
        <w:spacing w:line="513" w:lineRule="exact"/>
        <w:ind w:hanging="243"/>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公务接待费</w:t>
      </w:r>
      <w:r>
        <w:rPr>
          <w:rFonts w:hint="eastAsia" w:ascii="仿宋_GB2312" w:hAnsi="仿宋_GB2312" w:eastAsia="仿宋_GB2312" w:cs="仿宋_GB2312"/>
          <w:b w:val="0"/>
          <w:bCs/>
          <w:spacing w:val="-3"/>
          <w:sz w:val="32"/>
          <w:szCs w:val="32"/>
        </w:rPr>
        <w:t xml:space="preserve">预算为 </w:t>
      </w:r>
      <w:r>
        <w:rPr>
          <w:rFonts w:hint="eastAsia" w:ascii="仿宋_GB2312" w:hAnsi="仿宋_GB2312" w:eastAsia="仿宋_GB2312" w:cs="仿宋_GB2312"/>
          <w:b w:val="0"/>
          <w:bCs/>
          <w:sz w:val="32"/>
          <w:szCs w:val="32"/>
        </w:rPr>
        <w:t>0 万元，</w:t>
      </w:r>
      <w:r>
        <w:rPr>
          <w:rFonts w:hint="eastAsia" w:ascii="仿宋_GB2312" w:hAnsi="仿宋_GB2312" w:eastAsia="仿宋_GB2312" w:cs="仿宋_GB2312"/>
          <w:b w:val="0"/>
          <w:bCs/>
          <w:sz w:val="32"/>
          <w:szCs w:val="32"/>
          <w:lang w:eastAsia="zh-CN"/>
        </w:rPr>
        <w:t xml:space="preserve">大队 </w:t>
      </w:r>
      <w:r>
        <w:rPr>
          <w:rFonts w:hint="eastAsia" w:ascii="仿宋_GB2312" w:hAnsi="仿宋_GB2312" w:eastAsia="仿宋_GB2312" w:cs="仿宋_GB2312"/>
          <w:b w:val="0"/>
          <w:bCs/>
          <w:sz w:val="32"/>
          <w:szCs w:val="32"/>
        </w:rPr>
        <w:t>未列支公务接待费预</w:t>
      </w:r>
    </w:p>
    <w:p w14:paraId="22A0856B">
      <w:pPr>
        <w:spacing w:before="76"/>
        <w:ind w:left="1800"/>
        <w:rPr>
          <w:b w:val="0"/>
          <w:bCs/>
          <w:sz w:val="31"/>
        </w:rPr>
      </w:pPr>
      <w:r>
        <w:rPr>
          <w:rFonts w:hint="eastAsia" w:ascii="仿宋_GB2312" w:hAnsi="仿宋_GB2312" w:eastAsia="仿宋_GB2312" w:cs="仿宋_GB2312"/>
          <w:b w:val="0"/>
          <w:bCs/>
          <w:sz w:val="32"/>
          <w:szCs w:val="32"/>
        </w:rPr>
        <w:t>算。</w:t>
      </w:r>
    </w:p>
    <w:p w14:paraId="72B763C2">
      <w:pPr>
        <w:pStyle w:val="4"/>
        <w:spacing w:before="94" w:line="549" w:lineRule="exact"/>
        <w:ind w:left="2440"/>
        <w:rPr>
          <w:rFonts w:hint="eastAsia" w:ascii="黑体" w:hAnsi="黑体" w:eastAsia="黑体" w:cs="黑体"/>
        </w:rPr>
      </w:pPr>
      <w:r>
        <w:rPr>
          <w:rFonts w:hint="eastAsia" w:ascii="黑体" w:hAnsi="黑体" w:eastAsia="黑体" w:cs="黑体"/>
        </w:rPr>
        <w:t>八、机关运行经费支出说明</w:t>
      </w:r>
    </w:p>
    <w:p w14:paraId="0F043948">
      <w:pPr>
        <w:pStyle w:val="4"/>
        <w:spacing w:line="549"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唐山市开平区消防救援大队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年度机关运行经费支出</w:t>
      </w:r>
    </w:p>
    <w:p w14:paraId="70ED728E">
      <w:pPr>
        <w:pStyle w:val="4"/>
        <w:spacing w:line="232" w:lineRule="auto"/>
        <w:ind w:left="1800" w:right="120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万元，比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 xml:space="preserve"> 万元。主要原因是</w:t>
      </w:r>
      <w:r>
        <w:rPr>
          <w:rFonts w:hint="eastAsia" w:ascii="仿宋_GB2312" w:hAnsi="仿宋_GB2312" w:eastAsia="仿宋_GB2312" w:cs="仿宋_GB2312"/>
          <w:sz w:val="32"/>
          <w:szCs w:val="32"/>
          <w:lang w:val="en-US" w:eastAsia="zh-CN"/>
        </w:rPr>
        <w:t>人员经费</w:t>
      </w:r>
      <w:r>
        <w:rPr>
          <w:rFonts w:hint="eastAsia" w:ascii="仿宋_GB2312" w:hAnsi="仿宋_GB2312" w:eastAsia="仿宋_GB2312" w:cs="仿宋_GB2312"/>
          <w:sz w:val="32"/>
          <w:szCs w:val="32"/>
          <w:lang w:val="en-US"/>
        </w:rPr>
        <w:t>增加</w:t>
      </w:r>
      <w:r>
        <w:rPr>
          <w:rFonts w:hint="eastAsia" w:ascii="仿宋_GB2312" w:hAnsi="仿宋_GB2312" w:eastAsia="仿宋_GB2312" w:cs="仿宋_GB2312"/>
          <w:sz w:val="32"/>
          <w:szCs w:val="32"/>
        </w:rPr>
        <w:t>。</w:t>
      </w:r>
    </w:p>
    <w:p w14:paraId="179FF69D">
      <w:pPr>
        <w:pStyle w:val="4"/>
        <w:spacing w:line="536" w:lineRule="exact"/>
        <w:ind w:left="2440"/>
      </w:pPr>
      <w:r>
        <w:rPr>
          <w:rFonts w:hint="eastAsia" w:ascii="黑体" w:hAnsi="黑体" w:eastAsia="黑体" w:cs="黑体"/>
        </w:rPr>
        <w:t>九、政府采购支出说明</w:t>
      </w:r>
    </w:p>
    <w:p w14:paraId="46B334D8">
      <w:pPr>
        <w:pStyle w:val="4"/>
        <w:spacing w:line="540"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xml:space="preserve">唐山市开平区消防救援大队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年度政府采购支出总额</w:t>
      </w:r>
    </w:p>
    <w:p w14:paraId="34E083A7">
      <w:pPr>
        <w:pStyle w:val="4"/>
        <w:spacing w:line="540" w:lineRule="exact"/>
        <w:ind w:left="18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万元，其中：政府采购货物支出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w:t>
      </w:r>
    </w:p>
    <w:p w14:paraId="40BCFA7E">
      <w:pPr>
        <w:pStyle w:val="4"/>
        <w:spacing w:line="232" w:lineRule="auto"/>
        <w:ind w:left="1800" w:right="1284"/>
        <w:jc w:val="both"/>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购工程支出</w:t>
      </w:r>
      <w:r>
        <w:rPr>
          <w:rFonts w:hint="eastAsia" w:ascii="仿宋_GB2312" w:hAnsi="仿宋_GB2312" w:eastAsia="仿宋_GB2312" w:cs="仿宋_GB2312"/>
          <w:spacing w:val="-2"/>
          <w:sz w:val="32"/>
          <w:szCs w:val="32"/>
          <w:lang w:val="en-US"/>
        </w:rPr>
        <w:t xml:space="preserve"> </w:t>
      </w:r>
      <w:r>
        <w:rPr>
          <w:rFonts w:hint="eastAsia" w:ascii="仿宋_GB2312" w:hAnsi="仿宋_GB2312" w:eastAsia="仿宋_GB2312" w:cs="仿宋_GB2312"/>
          <w:spacing w:val="-2"/>
          <w:sz w:val="32"/>
          <w:szCs w:val="32"/>
          <w:lang w:val="en-US" w:eastAsia="zh-CN"/>
        </w:rPr>
        <w:t>0</w:t>
      </w:r>
      <w:r>
        <w:rPr>
          <w:rFonts w:hint="eastAsia" w:ascii="仿宋_GB2312" w:hAnsi="仿宋_GB2312" w:eastAsia="仿宋_GB2312" w:cs="仿宋_GB2312"/>
          <w:spacing w:val="-2"/>
          <w:sz w:val="32"/>
          <w:szCs w:val="32"/>
          <w:lang w:val="en-US"/>
        </w:rPr>
        <w:t xml:space="preserve"> </w:t>
      </w:r>
      <w:r>
        <w:rPr>
          <w:rFonts w:hint="eastAsia" w:ascii="仿宋_GB2312" w:hAnsi="仿宋_GB2312" w:eastAsia="仿宋_GB2312" w:cs="仿宋_GB2312"/>
          <w:spacing w:val="-1"/>
          <w:sz w:val="32"/>
          <w:szCs w:val="32"/>
        </w:rPr>
        <w:t>万元</w:t>
      </w:r>
      <w:r>
        <w:rPr>
          <w:rFonts w:hint="eastAsia" w:ascii="仿宋_GB2312" w:hAnsi="仿宋_GB2312" w:eastAsia="仿宋_GB2312" w:cs="仿宋_GB2312"/>
          <w:sz w:val="32"/>
          <w:szCs w:val="32"/>
        </w:rPr>
        <w:t>。</w:t>
      </w:r>
    </w:p>
    <w:p w14:paraId="05DC598F">
      <w:pPr>
        <w:pStyle w:val="4"/>
        <w:spacing w:line="536" w:lineRule="exact"/>
        <w:ind w:left="2440"/>
      </w:pPr>
      <w:r>
        <w:rPr>
          <w:rFonts w:hint="eastAsia" w:ascii="黑体" w:hAnsi="黑体" w:eastAsia="黑体" w:cs="黑体"/>
        </w:rPr>
        <w:t>十、国有资产占用情况说明</w:t>
      </w:r>
    </w:p>
    <w:p w14:paraId="2284E115">
      <w:pPr>
        <w:pStyle w:val="4"/>
        <w:spacing w:line="540"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 12 月 31 日，消防救援队伍共有车辆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p>
    <w:p w14:paraId="5FB8173B">
      <w:pPr>
        <w:pStyle w:val="4"/>
        <w:spacing w:line="540"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其中：机要通信用车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p>
    <w:p w14:paraId="3A6845C7">
      <w:pPr>
        <w:pStyle w:val="4"/>
        <w:spacing w:before="1" w:line="232" w:lineRule="auto"/>
        <w:ind w:left="1800" w:right="1338"/>
        <w:rPr>
          <w:highlight w:val="yellow"/>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highlight w:val="none"/>
        </w:rPr>
        <w:t>。</w:t>
      </w:r>
    </w:p>
    <w:p w14:paraId="54EB5632">
      <w:pPr>
        <w:pStyle w:val="4"/>
        <w:spacing w:before="1"/>
        <w:rPr>
          <w:rFonts w:ascii="Times New Roman"/>
          <w:sz w:val="4"/>
        </w:rPr>
      </w:pPr>
    </w:p>
    <w:p w14:paraId="4B38CEBF">
      <w:pPr>
        <w:pStyle w:val="4"/>
        <w:ind w:left="1887"/>
        <w:rPr>
          <w:rFonts w:ascii="Times New Roman"/>
          <w:sz w:val="20"/>
        </w:rPr>
      </w:pPr>
    </w:p>
    <w:p w14:paraId="57C8F21B">
      <w:pPr>
        <w:jc w:val="center"/>
        <w:rPr>
          <w:rFonts w:ascii="Times New Roman"/>
          <w:sz w:val="20"/>
        </w:rPr>
        <w:sectPr>
          <w:pgSz w:w="11910" w:h="16840"/>
          <w:pgMar w:top="1580" w:right="0" w:bottom="1080" w:left="0" w:header="0" w:footer="895" w:gutter="0"/>
          <w:cols w:space="720" w:num="1"/>
        </w:sectPr>
      </w:pPr>
    </w:p>
    <w:p w14:paraId="7A69E177">
      <w:pPr>
        <w:pStyle w:val="4"/>
        <w:rPr>
          <w:rFonts w:ascii="Times New Roman"/>
          <w:sz w:val="20"/>
        </w:rPr>
      </w:pPr>
      <w:r>
        <w:pict>
          <v:rect id="_x0000_s1038" o:spid="_x0000_s1038" o:spt="1" style="position:absolute;left:0pt;margin-left:0pt;margin-top:360pt;height:2pt;width:595.25pt;mso-position-horizontal-relative:page;mso-position-vertical-relative:page;z-index:251669504;mso-width-relative:page;mso-height-relative:page;" fillcolor="#385D89" filled="t" stroked="f" coordsize="21600,21600">
            <v:path/>
            <v:fill on="t" focussize="0,0"/>
            <v:stroke on="f"/>
            <v:imagedata o:title=""/>
            <o:lock v:ext="edit"/>
          </v:rect>
        </w:pict>
      </w:r>
      <w:r>
        <w:pict>
          <v:rect id="_x0000_s1039" o:spid="_x0000_s1039" o:spt="1" style="position:absolute;left:0pt;margin-left:0pt;margin-top:510.6pt;height:2pt;width:595.25pt;mso-position-horizontal-relative:page;mso-position-vertical-relative:page;z-index:251670528;mso-width-relative:page;mso-height-relative:page;" fillcolor="#385D89" filled="t" stroked="f" coordsize="21600,21600">
            <v:path/>
            <v:fill on="t" focussize="0,0"/>
            <v:stroke on="f"/>
            <v:imagedata o:title=""/>
            <o:lock v:ext="edit"/>
          </v:rect>
        </w:pict>
      </w:r>
    </w:p>
    <w:p w14:paraId="26221B0C">
      <w:pPr>
        <w:pStyle w:val="4"/>
        <w:rPr>
          <w:rFonts w:ascii="Times New Roman"/>
          <w:sz w:val="20"/>
        </w:rPr>
      </w:pPr>
    </w:p>
    <w:p w14:paraId="48BF0DB5">
      <w:pPr>
        <w:pStyle w:val="4"/>
        <w:rPr>
          <w:rFonts w:ascii="Times New Roman"/>
          <w:sz w:val="20"/>
        </w:rPr>
      </w:pPr>
    </w:p>
    <w:p w14:paraId="13838D63">
      <w:pPr>
        <w:pStyle w:val="4"/>
        <w:rPr>
          <w:rFonts w:ascii="Times New Roman"/>
          <w:sz w:val="20"/>
        </w:rPr>
      </w:pPr>
    </w:p>
    <w:p w14:paraId="1F6E2595">
      <w:pPr>
        <w:pStyle w:val="4"/>
        <w:rPr>
          <w:rFonts w:ascii="Times New Roman"/>
          <w:sz w:val="20"/>
        </w:rPr>
      </w:pPr>
    </w:p>
    <w:p w14:paraId="384E2FE3">
      <w:pPr>
        <w:pStyle w:val="4"/>
        <w:rPr>
          <w:rFonts w:ascii="Times New Roman"/>
          <w:sz w:val="20"/>
        </w:rPr>
      </w:pPr>
    </w:p>
    <w:p w14:paraId="6E3D7D37">
      <w:pPr>
        <w:pStyle w:val="4"/>
        <w:rPr>
          <w:rFonts w:ascii="Times New Roman"/>
          <w:sz w:val="20"/>
        </w:rPr>
      </w:pPr>
    </w:p>
    <w:p w14:paraId="0F99DF63">
      <w:pPr>
        <w:pStyle w:val="4"/>
        <w:rPr>
          <w:rFonts w:ascii="Times New Roman"/>
          <w:sz w:val="20"/>
        </w:rPr>
      </w:pPr>
    </w:p>
    <w:p w14:paraId="33EC187D">
      <w:pPr>
        <w:pStyle w:val="4"/>
        <w:rPr>
          <w:rFonts w:ascii="Times New Roman"/>
          <w:sz w:val="20"/>
        </w:rPr>
      </w:pPr>
    </w:p>
    <w:p w14:paraId="0EBC8222">
      <w:pPr>
        <w:pStyle w:val="4"/>
        <w:rPr>
          <w:rFonts w:ascii="Times New Roman"/>
          <w:sz w:val="20"/>
        </w:rPr>
      </w:pPr>
    </w:p>
    <w:p w14:paraId="45689B41">
      <w:pPr>
        <w:pStyle w:val="4"/>
        <w:rPr>
          <w:rFonts w:ascii="Times New Roman"/>
          <w:sz w:val="20"/>
        </w:rPr>
      </w:pPr>
    </w:p>
    <w:p w14:paraId="6A1F1F0B">
      <w:pPr>
        <w:pStyle w:val="4"/>
        <w:rPr>
          <w:rFonts w:ascii="Times New Roman"/>
          <w:sz w:val="20"/>
        </w:rPr>
      </w:pPr>
    </w:p>
    <w:p w14:paraId="33755700">
      <w:pPr>
        <w:pStyle w:val="4"/>
        <w:rPr>
          <w:rFonts w:ascii="Times New Roman"/>
          <w:sz w:val="20"/>
        </w:rPr>
      </w:pPr>
    </w:p>
    <w:p w14:paraId="521CFCE8">
      <w:pPr>
        <w:pStyle w:val="4"/>
        <w:rPr>
          <w:rFonts w:ascii="Times New Roman"/>
          <w:sz w:val="20"/>
        </w:rPr>
      </w:pPr>
    </w:p>
    <w:p w14:paraId="5D892F9C">
      <w:pPr>
        <w:pStyle w:val="4"/>
        <w:rPr>
          <w:rFonts w:ascii="Times New Roman"/>
          <w:sz w:val="20"/>
        </w:rPr>
      </w:pPr>
    </w:p>
    <w:p w14:paraId="03FF473E">
      <w:pPr>
        <w:pStyle w:val="4"/>
        <w:rPr>
          <w:rFonts w:ascii="Times New Roman"/>
          <w:sz w:val="20"/>
        </w:rPr>
      </w:pPr>
    </w:p>
    <w:p w14:paraId="328D3A2E">
      <w:pPr>
        <w:pStyle w:val="4"/>
        <w:rPr>
          <w:rFonts w:ascii="Times New Roman"/>
          <w:sz w:val="20"/>
        </w:rPr>
      </w:pPr>
    </w:p>
    <w:p w14:paraId="4B76DF81">
      <w:pPr>
        <w:pStyle w:val="4"/>
        <w:rPr>
          <w:rFonts w:ascii="Times New Roman"/>
          <w:sz w:val="20"/>
        </w:rPr>
      </w:pPr>
    </w:p>
    <w:p w14:paraId="51D1D552">
      <w:pPr>
        <w:pStyle w:val="4"/>
        <w:rPr>
          <w:rFonts w:ascii="Times New Roman"/>
          <w:sz w:val="20"/>
        </w:rPr>
      </w:pPr>
    </w:p>
    <w:p w14:paraId="5447BF06">
      <w:pPr>
        <w:pStyle w:val="4"/>
        <w:rPr>
          <w:rFonts w:ascii="Times New Roman"/>
          <w:sz w:val="20"/>
        </w:rPr>
      </w:pPr>
    </w:p>
    <w:p w14:paraId="776B6C96">
      <w:pPr>
        <w:pStyle w:val="4"/>
        <w:rPr>
          <w:rFonts w:ascii="Times New Roman"/>
          <w:sz w:val="20"/>
        </w:rPr>
      </w:pPr>
    </w:p>
    <w:p w14:paraId="2B3F5C95">
      <w:pPr>
        <w:pStyle w:val="4"/>
        <w:rPr>
          <w:rFonts w:ascii="Times New Roman"/>
          <w:sz w:val="20"/>
        </w:rPr>
      </w:pPr>
    </w:p>
    <w:p w14:paraId="6627482F">
      <w:pPr>
        <w:pStyle w:val="4"/>
        <w:rPr>
          <w:rFonts w:ascii="Times New Roman"/>
          <w:sz w:val="20"/>
        </w:rPr>
      </w:pPr>
    </w:p>
    <w:p w14:paraId="72C96ADC">
      <w:pPr>
        <w:pStyle w:val="4"/>
        <w:rPr>
          <w:rFonts w:ascii="Times New Roman"/>
          <w:sz w:val="20"/>
        </w:rPr>
      </w:pPr>
    </w:p>
    <w:p w14:paraId="0ADD9D13">
      <w:pPr>
        <w:pStyle w:val="4"/>
        <w:spacing w:before="7"/>
        <w:rPr>
          <w:rFonts w:ascii="Times New Roman"/>
          <w:sz w:val="10"/>
        </w:rPr>
      </w:pPr>
    </w:p>
    <w:p w14:paraId="24AF360E">
      <w:pPr>
        <w:pStyle w:val="4"/>
        <w:ind w:right="-58"/>
        <w:rPr>
          <w:rFonts w:ascii="Times New Roman"/>
          <w:sz w:val="20"/>
        </w:rPr>
      </w:pPr>
      <w:r>
        <w:rPr>
          <w:rFonts w:ascii="Times New Roman"/>
          <w:sz w:val="20"/>
        </w:rPr>
        <w:pict>
          <v:shape id="_x0000_s1040" o:spid="_x0000_s1040" o:spt="202" type="#_x0000_t202" style="height:148.6pt;width:595.3pt;" fillcolor="#94B3D6" filled="t" stroked="f" coordsize="21600,21600">
            <v:path/>
            <v:fill on="t" focussize="0,0"/>
            <v:stroke on="f" joinstyle="miter"/>
            <v:imagedata o:title=""/>
            <o:lock v:ext="edit"/>
            <v:textbox inset="0mm,0mm,0mm,0mm">
              <w:txbxContent>
                <w:p w14:paraId="1E3FF47F">
                  <w:pPr>
                    <w:tabs>
                      <w:tab w:val="left" w:pos="2383"/>
                    </w:tabs>
                    <w:spacing w:before="361"/>
                    <w:ind w:left="34"/>
                    <w:jc w:val="center"/>
                    <w:rPr>
                      <w:rFonts w:ascii="Microsoft JhengHei" w:eastAsia="Microsoft JhengHei"/>
                      <w:b/>
                      <w:sz w:val="52"/>
                    </w:rPr>
                  </w:pPr>
                  <w:r>
                    <w:rPr>
                      <w:rFonts w:hint="eastAsia" w:ascii="Microsoft JhengHei" w:eastAsia="Microsoft JhengHei"/>
                      <w:b/>
                      <w:sz w:val="52"/>
                    </w:rPr>
                    <w:t>第四部分</w:t>
                  </w:r>
                  <w:r>
                    <w:rPr>
                      <w:rFonts w:hint="eastAsia" w:ascii="Microsoft JhengHei" w:eastAsia="Microsoft JhengHei"/>
                      <w:b/>
                      <w:sz w:val="52"/>
                    </w:rPr>
                    <w:tab/>
                  </w:r>
                  <w:r>
                    <w:rPr>
                      <w:rFonts w:hint="eastAsia" w:ascii="Microsoft JhengHei" w:eastAsia="Microsoft JhengHei"/>
                      <w:b/>
                      <w:sz w:val="52"/>
                    </w:rPr>
                    <w:t>名词解释</w:t>
                  </w:r>
                </w:p>
              </w:txbxContent>
            </v:textbox>
            <w10:wrap type="none"/>
            <w10:anchorlock/>
          </v:shape>
        </w:pict>
      </w:r>
    </w:p>
    <w:p w14:paraId="0171C0FD">
      <w:pPr>
        <w:rPr>
          <w:rFonts w:ascii="Times New Roman"/>
          <w:sz w:val="20"/>
        </w:rPr>
        <w:sectPr>
          <w:pgSz w:w="11910" w:h="16840"/>
          <w:pgMar w:top="1580" w:right="0" w:bottom="1080" w:left="0" w:header="0" w:footer="895" w:gutter="0"/>
          <w:cols w:space="720" w:num="1"/>
        </w:sectPr>
      </w:pPr>
    </w:p>
    <w:p w14:paraId="1FE96A2A">
      <w:pPr>
        <w:spacing w:line="520"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pacing w:val="-77"/>
          <w:sz w:val="32"/>
          <w:szCs w:val="32"/>
        </w:rPr>
        <w:t>）</w:t>
      </w:r>
      <w:r>
        <w:rPr>
          <w:rFonts w:hint="eastAsia" w:ascii="仿宋_GB2312" w:hAnsi="仿宋_GB2312" w:eastAsia="仿宋_GB2312" w:cs="仿宋_GB2312"/>
          <w:b/>
          <w:spacing w:val="-6"/>
          <w:sz w:val="32"/>
          <w:szCs w:val="32"/>
        </w:rPr>
        <w:t>一般公共预算财政拨款收入：</w:t>
      </w:r>
      <w:r>
        <w:rPr>
          <w:rFonts w:hint="eastAsia" w:ascii="仿宋_GB2312" w:hAnsi="仿宋_GB2312" w:eastAsia="仿宋_GB2312" w:cs="仿宋_GB2312"/>
          <w:sz w:val="32"/>
          <w:szCs w:val="32"/>
        </w:rPr>
        <w:t>指中央财政当年拨付的</w:t>
      </w:r>
    </w:p>
    <w:p w14:paraId="72E56E0B">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w:t>
      </w:r>
    </w:p>
    <w:p w14:paraId="5B8A645A">
      <w:pPr>
        <w:spacing w:line="561"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pacing w:val="-72"/>
          <w:sz w:val="32"/>
          <w:szCs w:val="32"/>
        </w:rPr>
        <w:t>）</w:t>
      </w:r>
      <w:r>
        <w:rPr>
          <w:rFonts w:hint="eastAsia" w:ascii="仿宋_GB2312" w:hAnsi="仿宋_GB2312" w:eastAsia="仿宋_GB2312" w:cs="仿宋_GB2312"/>
          <w:b/>
          <w:spacing w:val="-15"/>
          <w:sz w:val="32"/>
          <w:szCs w:val="32"/>
        </w:rPr>
        <w:t>事业收入：</w:t>
      </w:r>
      <w:r>
        <w:rPr>
          <w:rFonts w:hint="eastAsia" w:ascii="仿宋_GB2312" w:hAnsi="仿宋_GB2312" w:eastAsia="仿宋_GB2312" w:cs="仿宋_GB2312"/>
          <w:sz w:val="32"/>
          <w:szCs w:val="32"/>
        </w:rPr>
        <w:t>指事业单位开展专业业务活动及辅助活动</w:t>
      </w:r>
    </w:p>
    <w:p w14:paraId="58F597FD">
      <w:pPr>
        <w:pStyle w:val="4"/>
        <w:spacing w:before="3"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所取得的收入。如</w:t>
      </w:r>
      <w:r>
        <w:rPr>
          <w:rFonts w:hint="eastAsia" w:ascii="仿宋_GB2312" w:hAnsi="仿宋_GB2312" w:eastAsia="仿宋_GB2312" w:cs="仿宋_GB2312"/>
          <w:spacing w:val="-12"/>
          <w:sz w:val="32"/>
          <w:szCs w:val="32"/>
          <w:lang w:eastAsia="zh-CN"/>
        </w:rPr>
        <w:t xml:space="preserve">唐山市开平区消防救援大队 </w:t>
      </w:r>
      <w:r>
        <w:rPr>
          <w:rFonts w:hint="eastAsia" w:ascii="仿宋_GB2312" w:hAnsi="仿宋_GB2312" w:eastAsia="仿宋_GB2312" w:cs="仿宋_GB2312"/>
          <w:spacing w:val="-12"/>
          <w:sz w:val="32"/>
          <w:szCs w:val="32"/>
        </w:rPr>
        <w:t>所主管科研单位开展专用产品检测等专业业务活动及辅助活动所取得的收入。</w:t>
      </w:r>
    </w:p>
    <w:p w14:paraId="24C70207">
      <w:pPr>
        <w:spacing w:line="536"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（三）其他收入：</w:t>
      </w:r>
      <w:r>
        <w:rPr>
          <w:rFonts w:hint="eastAsia" w:ascii="仿宋_GB2312" w:hAnsi="仿宋_GB2312" w:eastAsia="仿宋_GB2312" w:cs="仿宋_GB2312"/>
          <w:sz w:val="32"/>
          <w:szCs w:val="32"/>
        </w:rPr>
        <w:t>指除上述“一般公共预算财政拨款收入”、</w:t>
      </w:r>
    </w:p>
    <w:p w14:paraId="705084FA">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“事业收入”、“事业单位经营收入”等以外的收入。</w:t>
      </w:r>
    </w:p>
    <w:p w14:paraId="2FB7F164">
      <w:pPr>
        <w:spacing w:line="561"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w:t>
      </w:r>
      <w:r>
        <w:rPr>
          <w:rFonts w:hint="eastAsia" w:ascii="仿宋_GB2312" w:hAnsi="仿宋_GB2312" w:eastAsia="仿宋_GB2312" w:cs="仿宋_GB2312"/>
          <w:b/>
          <w:spacing w:val="-77"/>
          <w:sz w:val="32"/>
          <w:szCs w:val="32"/>
        </w:rPr>
        <w:t>）</w:t>
      </w:r>
      <w:r>
        <w:rPr>
          <w:rFonts w:hint="eastAsia" w:ascii="仿宋_GB2312" w:hAnsi="仿宋_GB2312" w:eastAsia="仿宋_GB2312" w:cs="仿宋_GB2312"/>
          <w:b/>
          <w:spacing w:val="-8"/>
          <w:sz w:val="32"/>
          <w:szCs w:val="32"/>
        </w:rPr>
        <w:t>使用非财政拨款结余：</w:t>
      </w:r>
      <w:r>
        <w:rPr>
          <w:rFonts w:hint="eastAsia" w:ascii="仿宋_GB2312" w:hAnsi="仿宋_GB2312" w:eastAsia="仿宋_GB2312" w:cs="仿宋_GB2312"/>
          <w:sz w:val="32"/>
          <w:szCs w:val="32"/>
        </w:rPr>
        <w:t>指事业单位使用以前年度积累</w:t>
      </w:r>
    </w:p>
    <w:p w14:paraId="034324BC">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的非财政拨款结余弥补当年收支差额的金额。</w:t>
      </w:r>
    </w:p>
    <w:p w14:paraId="1BB70D97">
      <w:pPr>
        <w:spacing w:line="561"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（五）年初结转和结余：</w:t>
      </w:r>
      <w:r>
        <w:rPr>
          <w:rFonts w:hint="eastAsia" w:ascii="仿宋_GB2312" w:hAnsi="仿宋_GB2312" w:eastAsia="仿宋_GB2312" w:cs="仿宋_GB2312"/>
          <w:sz w:val="32"/>
          <w:szCs w:val="32"/>
        </w:rPr>
        <w:t>指单位以前年度尚未完成、结转到</w:t>
      </w:r>
    </w:p>
    <w:p w14:paraId="6520CD6A">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本年按有关规定继续使用的资金。</w:t>
      </w:r>
    </w:p>
    <w:p w14:paraId="25823516">
      <w:pPr>
        <w:pStyle w:val="3"/>
        <w:spacing w:line="556" w:lineRule="exact"/>
        <w:rPr>
          <w:rFonts w:hint="eastAsia" w:ascii="仿宋_GB2312" w:hAnsi="仿宋_GB2312" w:eastAsia="仿宋_GB2312" w:cs="仿宋_GB2312"/>
          <w:sz w:val="32"/>
          <w:szCs w:val="32"/>
        </w:rPr>
      </w:pPr>
      <w:r>
        <w:rPr>
          <w:rFonts w:hint="eastAsia" w:ascii="仿宋_GB2312" w:hAnsi="仿宋_GB2312" w:eastAsia="仿宋_GB2312" w:cs="仿宋_GB2312"/>
          <w:w w:val="99"/>
          <w:sz w:val="32"/>
          <w:szCs w:val="32"/>
        </w:rPr>
        <w:t>（</w:t>
      </w:r>
      <w:r>
        <w:rPr>
          <w:rFonts w:hint="eastAsia" w:ascii="仿宋_GB2312" w:hAnsi="仿宋_GB2312" w:eastAsia="仿宋_GB2312" w:cs="仿宋_GB2312"/>
          <w:spacing w:val="2"/>
          <w:w w:val="99"/>
          <w:sz w:val="32"/>
          <w:szCs w:val="32"/>
        </w:rPr>
        <w:t>六</w:t>
      </w:r>
      <w:r>
        <w:rPr>
          <w:rFonts w:hint="eastAsia" w:ascii="仿宋_GB2312" w:hAnsi="仿宋_GB2312" w:eastAsia="仿宋_GB2312" w:cs="仿宋_GB2312"/>
          <w:spacing w:val="-27"/>
          <w:w w:val="99"/>
          <w:sz w:val="32"/>
          <w:szCs w:val="32"/>
        </w:rPr>
        <w:t>）</w:t>
      </w:r>
      <w:r>
        <w:rPr>
          <w:rFonts w:hint="eastAsia" w:ascii="仿宋_GB2312" w:hAnsi="仿宋_GB2312" w:eastAsia="仿宋_GB2312" w:cs="仿宋_GB2312"/>
          <w:spacing w:val="-4"/>
          <w:w w:val="99"/>
          <w:sz w:val="32"/>
          <w:szCs w:val="32"/>
        </w:rPr>
        <w:t>科学技术支出</w:t>
      </w:r>
      <w:r>
        <w:rPr>
          <w:rFonts w:hint="eastAsia" w:ascii="仿宋_GB2312" w:hAnsi="仿宋_GB2312" w:eastAsia="仿宋_GB2312" w:cs="仿宋_GB2312"/>
          <w:w w:val="99"/>
          <w:sz w:val="32"/>
          <w:szCs w:val="32"/>
        </w:rPr>
        <w:t>（</w:t>
      </w:r>
      <w:r>
        <w:rPr>
          <w:rFonts w:hint="eastAsia" w:ascii="仿宋_GB2312" w:hAnsi="仿宋_GB2312" w:eastAsia="仿宋_GB2312" w:cs="仿宋_GB2312"/>
          <w:spacing w:val="2"/>
          <w:w w:val="99"/>
          <w:sz w:val="32"/>
          <w:szCs w:val="32"/>
        </w:rPr>
        <w:t>类</w:t>
      </w:r>
      <w:r>
        <w:rPr>
          <w:rFonts w:hint="eastAsia" w:ascii="仿宋_GB2312" w:hAnsi="仿宋_GB2312" w:eastAsia="仿宋_GB2312" w:cs="仿宋_GB2312"/>
          <w:spacing w:val="-27"/>
          <w:w w:val="99"/>
          <w:sz w:val="32"/>
          <w:szCs w:val="32"/>
        </w:rPr>
        <w:t>）</w:t>
      </w:r>
      <w:r>
        <w:rPr>
          <w:rFonts w:hint="eastAsia" w:ascii="仿宋_GB2312" w:hAnsi="仿宋_GB2312" w:eastAsia="仿宋_GB2312" w:cs="仿宋_GB2312"/>
          <w:spacing w:val="-6"/>
          <w:w w:val="99"/>
          <w:sz w:val="32"/>
          <w:szCs w:val="32"/>
        </w:rPr>
        <w:t>应用研究</w:t>
      </w:r>
      <w:r>
        <w:rPr>
          <w:rFonts w:hint="eastAsia" w:ascii="仿宋_GB2312" w:hAnsi="仿宋_GB2312" w:eastAsia="仿宋_GB2312" w:cs="仿宋_GB2312"/>
          <w:w w:val="99"/>
          <w:sz w:val="32"/>
          <w:szCs w:val="32"/>
        </w:rPr>
        <w:t>（</w:t>
      </w:r>
      <w:r>
        <w:rPr>
          <w:rFonts w:hint="eastAsia" w:ascii="仿宋_GB2312" w:hAnsi="仿宋_GB2312" w:eastAsia="仿宋_GB2312" w:cs="仿宋_GB2312"/>
          <w:spacing w:val="2"/>
          <w:w w:val="99"/>
          <w:sz w:val="32"/>
          <w:szCs w:val="32"/>
        </w:rPr>
        <w:t>款</w:t>
      </w:r>
      <w:r>
        <w:rPr>
          <w:rFonts w:hint="eastAsia" w:ascii="仿宋_GB2312" w:hAnsi="仿宋_GB2312" w:eastAsia="仿宋_GB2312" w:cs="仿宋_GB2312"/>
          <w:spacing w:val="-27"/>
          <w:w w:val="99"/>
          <w:sz w:val="32"/>
          <w:szCs w:val="32"/>
        </w:rPr>
        <w:t>）</w:t>
      </w:r>
      <w:r>
        <w:rPr>
          <w:rFonts w:hint="eastAsia" w:ascii="仿宋_GB2312" w:hAnsi="仿宋_GB2312" w:eastAsia="仿宋_GB2312" w:cs="仿宋_GB2312"/>
          <w:spacing w:val="-6"/>
          <w:w w:val="99"/>
          <w:sz w:val="32"/>
          <w:szCs w:val="32"/>
        </w:rPr>
        <w:t>机构运行</w:t>
      </w:r>
      <w:r>
        <w:rPr>
          <w:rFonts w:hint="eastAsia" w:ascii="仿宋_GB2312" w:hAnsi="仿宋_GB2312" w:eastAsia="仿宋_GB2312" w:cs="仿宋_GB2312"/>
          <w:w w:val="99"/>
          <w:sz w:val="32"/>
          <w:szCs w:val="32"/>
        </w:rPr>
        <w:t>（</w:t>
      </w:r>
      <w:r>
        <w:rPr>
          <w:rFonts w:hint="eastAsia" w:ascii="仿宋_GB2312" w:hAnsi="仿宋_GB2312" w:eastAsia="仿宋_GB2312" w:cs="仿宋_GB2312"/>
          <w:spacing w:val="2"/>
          <w:w w:val="99"/>
          <w:sz w:val="32"/>
          <w:szCs w:val="32"/>
        </w:rPr>
        <w:t>项</w:t>
      </w:r>
      <w:r>
        <w:rPr>
          <w:rFonts w:hint="eastAsia" w:ascii="仿宋_GB2312" w:hAnsi="仿宋_GB2312" w:eastAsia="仿宋_GB2312" w:cs="仿宋_GB2312"/>
          <w:spacing w:val="-159"/>
          <w:w w:val="99"/>
          <w:sz w:val="32"/>
          <w:szCs w:val="32"/>
        </w:rPr>
        <w:t>）</w:t>
      </w:r>
      <w:r>
        <w:rPr>
          <w:rFonts w:hint="eastAsia" w:ascii="仿宋_GB2312" w:hAnsi="仿宋_GB2312" w:eastAsia="仿宋_GB2312" w:cs="仿宋_GB2312"/>
          <w:w w:val="99"/>
          <w:sz w:val="32"/>
          <w:szCs w:val="32"/>
        </w:rPr>
        <w:t>：</w:t>
      </w:r>
    </w:p>
    <w:p w14:paraId="65FDCCA0">
      <w:pPr>
        <w:pStyle w:val="4"/>
        <w:spacing w:before="8"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spacing w:val="6"/>
          <w:w w:val="95"/>
          <w:sz w:val="32"/>
          <w:szCs w:val="32"/>
        </w:rPr>
        <w:t>指</w:t>
      </w:r>
      <w:r>
        <w:rPr>
          <w:rFonts w:hint="eastAsia" w:ascii="仿宋_GB2312" w:hAnsi="仿宋_GB2312" w:eastAsia="仿宋_GB2312" w:cs="仿宋_GB2312"/>
          <w:spacing w:val="6"/>
          <w:w w:val="95"/>
          <w:sz w:val="32"/>
          <w:szCs w:val="32"/>
          <w:lang w:eastAsia="zh-CN"/>
        </w:rPr>
        <w:t xml:space="preserve">唐山市开平区消防救援大队 </w:t>
      </w:r>
      <w:r>
        <w:rPr>
          <w:rFonts w:hint="eastAsia" w:ascii="仿宋_GB2312" w:hAnsi="仿宋_GB2312" w:eastAsia="仿宋_GB2312" w:cs="仿宋_GB2312"/>
          <w:spacing w:val="6"/>
          <w:w w:val="95"/>
          <w:sz w:val="32"/>
          <w:szCs w:val="32"/>
        </w:rPr>
        <w:t xml:space="preserve">所主管承担科研任务事业单位的基  </w:t>
      </w:r>
      <w:r>
        <w:rPr>
          <w:rFonts w:hint="eastAsia" w:ascii="仿宋_GB2312" w:hAnsi="仿宋_GB2312" w:eastAsia="仿宋_GB2312" w:cs="仿宋_GB2312"/>
          <w:spacing w:val="6"/>
          <w:sz w:val="32"/>
          <w:szCs w:val="32"/>
        </w:rPr>
        <w:t>本支出。</w:t>
      </w:r>
    </w:p>
    <w:p w14:paraId="3844BB36">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（七）科学技术支出（类）应用研究（款）社会公益研究</w:t>
      </w:r>
    </w:p>
    <w:p w14:paraId="6659EA24">
      <w:pPr>
        <w:pStyle w:val="4"/>
        <w:spacing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70"/>
          <w:sz w:val="32"/>
          <w:szCs w:val="32"/>
        </w:rPr>
        <w:t>）：</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 xml:space="preserve">唐山市开平区消防救援大队 </w:t>
      </w:r>
      <w:r>
        <w:rPr>
          <w:rFonts w:hint="eastAsia" w:ascii="仿宋_GB2312" w:hAnsi="仿宋_GB2312" w:eastAsia="仿宋_GB2312" w:cs="仿宋_GB2312"/>
          <w:sz w:val="32"/>
          <w:szCs w:val="32"/>
        </w:rPr>
        <w:t>所主管承担科研任务事业单位开展消防技术等社会公益专项科研方面的支出。</w:t>
      </w:r>
    </w:p>
    <w:p w14:paraId="73393A7D">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（八）科学技术支出（类）科技条件与服务（款）科技条</w:t>
      </w:r>
    </w:p>
    <w:p w14:paraId="7BEF2DE4">
      <w:pPr>
        <w:pStyle w:val="4"/>
        <w:spacing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b/>
          <w:spacing w:val="-16"/>
          <w:sz w:val="32"/>
          <w:szCs w:val="32"/>
        </w:rPr>
        <w:t>件专项</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47"/>
          <w:sz w:val="32"/>
          <w:szCs w:val="32"/>
        </w:rPr>
        <w:t>）：</w:t>
      </w:r>
      <w:r>
        <w:rPr>
          <w:rFonts w:hint="eastAsia" w:ascii="仿宋_GB2312" w:hAnsi="仿宋_GB2312" w:eastAsia="仿宋_GB2312" w:cs="仿宋_GB2312"/>
          <w:sz w:val="32"/>
          <w:szCs w:val="32"/>
        </w:rPr>
        <w:t>指财政部核定</w:t>
      </w:r>
      <w:r>
        <w:rPr>
          <w:rFonts w:hint="eastAsia" w:ascii="仿宋_GB2312" w:hAnsi="仿宋_GB2312" w:eastAsia="仿宋_GB2312" w:cs="仿宋_GB2312"/>
          <w:sz w:val="32"/>
          <w:szCs w:val="32"/>
          <w:lang w:eastAsia="zh-CN"/>
        </w:rPr>
        <w:t xml:space="preserve">唐山市开平区消防救援大队 </w:t>
      </w:r>
      <w:r>
        <w:rPr>
          <w:rFonts w:hint="eastAsia" w:ascii="仿宋_GB2312" w:hAnsi="仿宋_GB2312" w:eastAsia="仿宋_GB2312" w:cs="仿宋_GB2312"/>
          <w:sz w:val="32"/>
          <w:szCs w:val="32"/>
        </w:rPr>
        <w:t>的中央级科学事业单位修缮购置经费。</w:t>
      </w:r>
    </w:p>
    <w:p w14:paraId="109EDABE">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（九）科学技术支出（类）其他科学技术支出（款）其他</w:t>
      </w:r>
    </w:p>
    <w:p w14:paraId="0C94113D">
      <w:pPr>
        <w:spacing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b/>
          <w:spacing w:val="-8"/>
          <w:sz w:val="32"/>
          <w:szCs w:val="32"/>
        </w:rPr>
        <w:t>科学技术支出</w:t>
      </w:r>
      <w:r>
        <w:rPr>
          <w:rFonts w:hint="eastAsia" w:ascii="仿宋_GB2312" w:hAnsi="仿宋_GB2312" w:eastAsia="仿宋_GB2312" w:cs="仿宋_GB2312"/>
          <w:b/>
          <w:sz w:val="32"/>
          <w:szCs w:val="32"/>
        </w:rPr>
        <w:t>（</w:t>
      </w:r>
      <w:r>
        <w:rPr>
          <w:rFonts w:hint="eastAsia" w:ascii="仿宋_GB2312" w:hAnsi="仿宋_GB2312" w:eastAsia="仿宋_GB2312" w:cs="仿宋_GB2312"/>
          <w:b/>
          <w:spacing w:val="5"/>
          <w:sz w:val="32"/>
          <w:szCs w:val="32"/>
        </w:rPr>
        <w:t>项</w:t>
      </w:r>
      <w:r>
        <w:rPr>
          <w:rFonts w:hint="eastAsia" w:ascii="仿宋_GB2312" w:hAnsi="仿宋_GB2312" w:eastAsia="仿宋_GB2312" w:cs="仿宋_GB2312"/>
          <w:b/>
          <w:spacing w:val="-50"/>
          <w:sz w:val="32"/>
          <w:szCs w:val="32"/>
        </w:rPr>
        <w:t>）：</w:t>
      </w:r>
      <w:r>
        <w:rPr>
          <w:rFonts w:hint="eastAsia" w:ascii="仿宋_GB2312" w:hAnsi="仿宋_GB2312" w:eastAsia="仿宋_GB2312" w:cs="仿宋_GB2312"/>
          <w:sz w:val="32"/>
          <w:szCs w:val="32"/>
        </w:rPr>
        <w:t>指财政部核定</w:t>
      </w:r>
      <w:r>
        <w:rPr>
          <w:rFonts w:hint="eastAsia" w:ascii="仿宋_GB2312" w:hAnsi="仿宋_GB2312" w:eastAsia="仿宋_GB2312" w:cs="仿宋_GB2312"/>
          <w:sz w:val="32"/>
          <w:szCs w:val="32"/>
          <w:lang w:eastAsia="zh-CN"/>
        </w:rPr>
        <w:t xml:space="preserve">唐山市开平区消防救援大队 </w:t>
      </w:r>
      <w:r>
        <w:rPr>
          <w:rFonts w:hint="eastAsia" w:ascii="仿宋_GB2312" w:hAnsi="仿宋_GB2312" w:eastAsia="仿宋_GB2312" w:cs="仿宋_GB2312"/>
          <w:sz w:val="32"/>
          <w:szCs w:val="32"/>
        </w:rPr>
        <w:t>的科技业务管理费支出。</w:t>
      </w:r>
    </w:p>
    <w:p w14:paraId="709E140B">
      <w:pPr>
        <w:pStyle w:val="3"/>
        <w:rPr>
          <w:rFonts w:hint="eastAsia" w:ascii="仿宋_GB2312" w:hAnsi="仿宋_GB2312" w:eastAsia="仿宋_GB2312" w:cs="仿宋_GB2312"/>
          <w:sz w:val="32"/>
          <w:szCs w:val="32"/>
        </w:rPr>
      </w:pPr>
      <w:r>
        <w:rPr>
          <w:rFonts w:hint="eastAsia" w:ascii="仿宋_GB2312" w:hAnsi="仿宋_GB2312" w:eastAsia="仿宋_GB2312" w:cs="仿宋_GB2312"/>
          <w:spacing w:val="7"/>
          <w:w w:val="95"/>
          <w:sz w:val="32"/>
          <w:szCs w:val="32"/>
        </w:rPr>
        <w:t>（</w:t>
      </w:r>
      <w:r>
        <w:rPr>
          <w:rFonts w:hint="eastAsia" w:ascii="仿宋_GB2312" w:hAnsi="仿宋_GB2312" w:eastAsia="仿宋_GB2312" w:cs="仿宋_GB2312"/>
          <w:spacing w:val="9"/>
          <w:w w:val="95"/>
          <w:sz w:val="32"/>
          <w:szCs w:val="32"/>
        </w:rPr>
        <w:t>十</w:t>
      </w:r>
      <w:r>
        <w:rPr>
          <w:rFonts w:hint="eastAsia" w:ascii="仿宋_GB2312" w:hAnsi="仿宋_GB2312" w:eastAsia="仿宋_GB2312" w:cs="仿宋_GB2312"/>
          <w:spacing w:val="7"/>
          <w:w w:val="95"/>
          <w:sz w:val="32"/>
          <w:szCs w:val="32"/>
        </w:rPr>
        <w:t>）住房保障支出（</w:t>
      </w:r>
      <w:r>
        <w:rPr>
          <w:rFonts w:hint="eastAsia" w:ascii="仿宋_GB2312" w:hAnsi="仿宋_GB2312" w:eastAsia="仿宋_GB2312" w:cs="仿宋_GB2312"/>
          <w:spacing w:val="9"/>
          <w:w w:val="95"/>
          <w:sz w:val="32"/>
          <w:szCs w:val="32"/>
        </w:rPr>
        <w:t>类</w:t>
      </w:r>
      <w:r>
        <w:rPr>
          <w:rFonts w:hint="eastAsia" w:ascii="仿宋_GB2312" w:hAnsi="仿宋_GB2312" w:eastAsia="仿宋_GB2312" w:cs="仿宋_GB2312"/>
          <w:spacing w:val="7"/>
          <w:w w:val="95"/>
          <w:sz w:val="32"/>
          <w:szCs w:val="32"/>
        </w:rPr>
        <w:t>）住房改革支出（</w:t>
      </w:r>
      <w:r>
        <w:rPr>
          <w:rFonts w:hint="eastAsia" w:ascii="仿宋_GB2312" w:hAnsi="仿宋_GB2312" w:eastAsia="仿宋_GB2312" w:cs="仿宋_GB2312"/>
          <w:spacing w:val="9"/>
          <w:w w:val="95"/>
          <w:sz w:val="32"/>
          <w:szCs w:val="32"/>
        </w:rPr>
        <w:t>款</w:t>
      </w:r>
      <w:r>
        <w:rPr>
          <w:rFonts w:hint="eastAsia" w:ascii="仿宋_GB2312" w:hAnsi="仿宋_GB2312" w:eastAsia="仿宋_GB2312" w:cs="仿宋_GB2312"/>
          <w:spacing w:val="7"/>
          <w:w w:val="95"/>
          <w:sz w:val="32"/>
          <w:szCs w:val="32"/>
        </w:rPr>
        <w:t>）</w:t>
      </w:r>
      <w:r>
        <w:rPr>
          <w:rFonts w:hint="eastAsia" w:ascii="仿宋_GB2312" w:hAnsi="仿宋_GB2312" w:eastAsia="仿宋_GB2312" w:cs="仿宋_GB2312"/>
          <w:spacing w:val="6"/>
          <w:w w:val="95"/>
          <w:sz w:val="32"/>
          <w:szCs w:val="32"/>
        </w:rPr>
        <w:t>住房公积</w:t>
      </w:r>
    </w:p>
    <w:p w14:paraId="07ECC1F2">
      <w:pPr>
        <w:pStyle w:val="4"/>
        <w:spacing w:line="575"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b/>
          <w:spacing w:val="-34"/>
          <w:w w:val="95"/>
          <w:sz w:val="32"/>
          <w:szCs w:val="32"/>
        </w:rPr>
        <w:t>金</w:t>
      </w:r>
      <w:r>
        <w:rPr>
          <w:rFonts w:hint="eastAsia" w:ascii="仿宋_GB2312" w:hAnsi="仿宋_GB2312" w:eastAsia="仿宋_GB2312" w:cs="仿宋_GB2312"/>
          <w:b/>
          <w:w w:val="95"/>
          <w:sz w:val="32"/>
          <w:szCs w:val="32"/>
        </w:rPr>
        <w:t>（项</w:t>
      </w:r>
      <w:r>
        <w:rPr>
          <w:rFonts w:hint="eastAsia" w:ascii="仿宋_GB2312" w:hAnsi="仿宋_GB2312" w:eastAsia="仿宋_GB2312" w:cs="仿宋_GB2312"/>
          <w:b/>
          <w:spacing w:val="-35"/>
          <w:w w:val="95"/>
          <w:sz w:val="32"/>
          <w:szCs w:val="32"/>
        </w:rPr>
        <w:t>）</w:t>
      </w:r>
      <w:r>
        <w:rPr>
          <w:rFonts w:hint="eastAsia" w:ascii="仿宋_GB2312" w:hAnsi="仿宋_GB2312" w:eastAsia="仿宋_GB2312" w:cs="仿宋_GB2312"/>
          <w:spacing w:val="-8"/>
          <w:w w:val="95"/>
          <w:sz w:val="32"/>
          <w:szCs w:val="32"/>
        </w:rPr>
        <w:t>：反映行政事业单位按人力资源和社会保障部、财政部</w:t>
      </w:r>
    </w:p>
    <w:p w14:paraId="02313A1A">
      <w:pPr>
        <w:spacing w:line="575" w:lineRule="exact"/>
        <w:rPr>
          <w:rFonts w:hint="eastAsia" w:ascii="仿宋_GB2312" w:hAnsi="仿宋_GB2312" w:eastAsia="仿宋_GB2312" w:cs="仿宋_GB2312"/>
          <w:sz w:val="32"/>
          <w:szCs w:val="32"/>
        </w:rPr>
        <w:sectPr>
          <w:pgSz w:w="11910" w:h="16840"/>
          <w:pgMar w:top="1500" w:right="0" w:bottom="1160" w:left="0" w:header="0" w:footer="895" w:gutter="0"/>
          <w:cols w:space="720" w:num="1"/>
        </w:sectPr>
      </w:pPr>
    </w:p>
    <w:p w14:paraId="034E73E2">
      <w:pPr>
        <w:pStyle w:val="4"/>
        <w:spacing w:line="520"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规定的基本工资和津贴补贴以及规定比例为职工缴纳的住房公</w:t>
      </w:r>
    </w:p>
    <w:p w14:paraId="2D0C9E2D">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积金。</w:t>
      </w:r>
    </w:p>
    <w:p w14:paraId="48545A94">
      <w:pPr>
        <w:spacing w:line="225" w:lineRule="auto"/>
        <w:ind w:left="1800" w:right="1284"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8"/>
          <w:w w:val="95"/>
          <w:sz w:val="32"/>
          <w:szCs w:val="32"/>
        </w:rPr>
        <w:t>十一</w:t>
      </w:r>
      <w:r>
        <w:rPr>
          <w:rFonts w:hint="eastAsia" w:ascii="仿宋_GB2312" w:hAnsi="仿宋_GB2312" w:eastAsia="仿宋_GB2312" w:cs="仿宋_GB2312"/>
          <w:b/>
          <w:spacing w:val="7"/>
          <w:w w:val="95"/>
          <w:sz w:val="32"/>
          <w:szCs w:val="32"/>
        </w:rPr>
        <w:t>）住房保障支出</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类）住房改革支出（</w:t>
      </w:r>
      <w:r>
        <w:rPr>
          <w:rFonts w:hint="eastAsia" w:ascii="仿宋_GB2312" w:hAnsi="仿宋_GB2312" w:eastAsia="仿宋_GB2312" w:cs="仿宋_GB2312"/>
          <w:b/>
          <w:spacing w:val="9"/>
          <w:w w:val="95"/>
          <w:sz w:val="32"/>
          <w:szCs w:val="32"/>
        </w:rPr>
        <w:t>款</w:t>
      </w: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5"/>
          <w:w w:val="95"/>
          <w:sz w:val="32"/>
          <w:szCs w:val="32"/>
        </w:rPr>
        <w:t xml:space="preserve">提租补   </w:t>
      </w:r>
      <w:r>
        <w:rPr>
          <w:rFonts w:hint="eastAsia" w:ascii="仿宋_GB2312" w:hAnsi="仿宋_GB2312" w:eastAsia="仿宋_GB2312" w:cs="仿宋_GB2312"/>
          <w:b/>
          <w:spacing w:val="-94"/>
          <w:sz w:val="32"/>
          <w:szCs w:val="32"/>
        </w:rPr>
        <w:t>贴</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97"/>
          <w:sz w:val="32"/>
          <w:szCs w:val="32"/>
        </w:rPr>
        <w:t>）</w:t>
      </w:r>
      <w:r>
        <w:rPr>
          <w:rFonts w:hint="eastAsia" w:ascii="仿宋_GB2312" w:hAnsi="仿宋_GB2312" w:eastAsia="仿宋_GB2312" w:cs="仿宋_GB2312"/>
          <w:spacing w:val="-18"/>
          <w:sz w:val="32"/>
          <w:szCs w:val="32"/>
        </w:rPr>
        <w:t>：反映按房改政策规定的标准，行政事业单位向职工</w:t>
      </w:r>
      <w:r>
        <w:rPr>
          <w:rFonts w:hint="eastAsia" w:ascii="仿宋_GB2312" w:hAnsi="仿宋_GB2312" w:eastAsia="仿宋_GB2312" w:cs="仿宋_GB2312"/>
          <w:sz w:val="32"/>
          <w:szCs w:val="32"/>
        </w:rPr>
        <w:t>（含离退休人员）发放的租金补贴。</w:t>
      </w:r>
    </w:p>
    <w:p w14:paraId="799CAB7C">
      <w:pPr>
        <w:spacing w:line="220" w:lineRule="auto"/>
        <w:ind w:left="1800" w:right="1284" w:firstLine="640"/>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8"/>
          <w:w w:val="95"/>
          <w:sz w:val="32"/>
          <w:szCs w:val="32"/>
        </w:rPr>
        <w:t>十二</w:t>
      </w:r>
      <w:r>
        <w:rPr>
          <w:rFonts w:hint="eastAsia" w:ascii="仿宋_GB2312" w:hAnsi="仿宋_GB2312" w:eastAsia="仿宋_GB2312" w:cs="仿宋_GB2312"/>
          <w:b/>
          <w:spacing w:val="7"/>
          <w:w w:val="95"/>
          <w:sz w:val="32"/>
          <w:szCs w:val="32"/>
        </w:rPr>
        <w:t>）住房保障支出</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类）住房改革支出（</w:t>
      </w:r>
      <w:r>
        <w:rPr>
          <w:rFonts w:hint="eastAsia" w:ascii="仿宋_GB2312" w:hAnsi="仿宋_GB2312" w:eastAsia="仿宋_GB2312" w:cs="仿宋_GB2312"/>
          <w:b/>
          <w:spacing w:val="9"/>
          <w:w w:val="95"/>
          <w:sz w:val="32"/>
          <w:szCs w:val="32"/>
        </w:rPr>
        <w:t>款</w:t>
      </w: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5"/>
          <w:w w:val="95"/>
          <w:sz w:val="32"/>
          <w:szCs w:val="32"/>
        </w:rPr>
        <w:t xml:space="preserve">购房补  </w:t>
      </w:r>
      <w:r>
        <w:rPr>
          <w:rFonts w:hint="eastAsia" w:ascii="仿宋_GB2312" w:hAnsi="仿宋_GB2312" w:eastAsia="仿宋_GB2312" w:cs="仿宋_GB2312"/>
          <w:b/>
          <w:spacing w:val="-34"/>
          <w:w w:val="95"/>
          <w:sz w:val="32"/>
          <w:szCs w:val="32"/>
        </w:rPr>
        <w:t>贴</w:t>
      </w:r>
      <w:r>
        <w:rPr>
          <w:rFonts w:hint="eastAsia" w:ascii="仿宋_GB2312" w:hAnsi="仿宋_GB2312" w:eastAsia="仿宋_GB2312" w:cs="仿宋_GB2312"/>
          <w:b/>
          <w:w w:val="95"/>
          <w:sz w:val="32"/>
          <w:szCs w:val="32"/>
        </w:rPr>
        <w:t>（项</w:t>
      </w:r>
      <w:r>
        <w:rPr>
          <w:rFonts w:hint="eastAsia" w:ascii="仿宋_GB2312" w:hAnsi="仿宋_GB2312" w:eastAsia="仿宋_GB2312" w:cs="仿宋_GB2312"/>
          <w:b/>
          <w:spacing w:val="-35"/>
          <w:w w:val="95"/>
          <w:sz w:val="32"/>
          <w:szCs w:val="32"/>
        </w:rPr>
        <w:t>）</w:t>
      </w:r>
      <w:r>
        <w:rPr>
          <w:rFonts w:hint="eastAsia" w:ascii="仿宋_GB2312" w:hAnsi="仿宋_GB2312" w:eastAsia="仿宋_GB2312" w:cs="仿宋_GB2312"/>
          <w:spacing w:val="-9"/>
          <w:w w:val="95"/>
          <w:sz w:val="32"/>
          <w:szCs w:val="32"/>
        </w:rPr>
        <w:t>：反映按房改政策规定，行政事业单位向符合条件职工</w:t>
      </w:r>
    </w:p>
    <w:p w14:paraId="3867A5EA">
      <w:pPr>
        <w:pStyle w:val="4"/>
        <w:spacing w:line="522"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（含离退休人员）发放的用于购买住房的补贴。</w:t>
      </w:r>
    </w:p>
    <w:p w14:paraId="33DFB702">
      <w:pPr>
        <w:spacing w:line="225" w:lineRule="auto"/>
        <w:ind w:left="1800" w:right="1286"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8"/>
          <w:w w:val="95"/>
          <w:sz w:val="32"/>
          <w:szCs w:val="32"/>
        </w:rPr>
        <w:t>十三</w:t>
      </w:r>
      <w:r>
        <w:rPr>
          <w:rFonts w:hint="eastAsia" w:ascii="仿宋_GB2312" w:hAnsi="仿宋_GB2312" w:eastAsia="仿宋_GB2312" w:cs="仿宋_GB2312"/>
          <w:b/>
          <w:spacing w:val="7"/>
          <w:w w:val="95"/>
          <w:sz w:val="32"/>
          <w:szCs w:val="32"/>
        </w:rPr>
        <w:t>）灾害防治及应急管理支出</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类</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消防事务</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款</w:t>
      </w:r>
      <w:r>
        <w:rPr>
          <w:rFonts w:hint="eastAsia" w:ascii="仿宋_GB2312" w:hAnsi="仿宋_GB2312" w:eastAsia="仿宋_GB2312" w:cs="仿宋_GB2312"/>
          <w:b/>
          <w:w w:val="95"/>
          <w:sz w:val="32"/>
          <w:szCs w:val="32"/>
        </w:rPr>
        <w:t xml:space="preserve">）  </w:t>
      </w:r>
      <w:r>
        <w:rPr>
          <w:rFonts w:hint="eastAsia" w:ascii="仿宋_GB2312" w:hAnsi="仿宋_GB2312" w:eastAsia="仿宋_GB2312" w:cs="仿宋_GB2312"/>
          <w:b/>
          <w:spacing w:val="-12"/>
          <w:sz w:val="32"/>
          <w:szCs w:val="32"/>
        </w:rPr>
        <w:t>行政运行</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48"/>
          <w:sz w:val="32"/>
          <w:szCs w:val="32"/>
        </w:rPr>
        <w:t>）</w:t>
      </w:r>
      <w:r>
        <w:rPr>
          <w:rFonts w:hint="eastAsia" w:ascii="仿宋_GB2312" w:hAnsi="仿宋_GB2312" w:eastAsia="仿宋_GB2312" w:cs="仿宋_GB2312"/>
          <w:spacing w:val="-7"/>
          <w:sz w:val="32"/>
          <w:szCs w:val="32"/>
        </w:rPr>
        <w:t>：指</w:t>
      </w:r>
      <w:r>
        <w:rPr>
          <w:rFonts w:hint="eastAsia" w:ascii="仿宋_GB2312" w:hAnsi="仿宋_GB2312" w:eastAsia="仿宋_GB2312" w:cs="仿宋_GB2312"/>
          <w:spacing w:val="-7"/>
          <w:sz w:val="32"/>
          <w:szCs w:val="32"/>
          <w:lang w:eastAsia="zh-CN"/>
        </w:rPr>
        <w:t xml:space="preserve">唐山市开平区消防救援大队 </w:t>
      </w:r>
      <w:r>
        <w:rPr>
          <w:rFonts w:hint="eastAsia" w:ascii="仿宋_GB2312" w:hAnsi="仿宋_GB2312" w:eastAsia="仿宋_GB2312" w:cs="仿宋_GB2312"/>
          <w:spacing w:val="-7"/>
          <w:sz w:val="32"/>
          <w:szCs w:val="32"/>
        </w:rPr>
        <w:t>用于保障机构正常运行、开展日常工作的基本支出。</w:t>
      </w:r>
    </w:p>
    <w:p w14:paraId="57605CBD">
      <w:pPr>
        <w:spacing w:line="220" w:lineRule="auto"/>
        <w:ind w:left="1800" w:right="1284" w:firstLine="640"/>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8"/>
          <w:w w:val="95"/>
          <w:sz w:val="32"/>
          <w:szCs w:val="32"/>
        </w:rPr>
        <w:t>十四</w:t>
      </w:r>
      <w:r>
        <w:rPr>
          <w:rFonts w:hint="eastAsia" w:ascii="仿宋_GB2312" w:hAnsi="仿宋_GB2312" w:eastAsia="仿宋_GB2312" w:cs="仿宋_GB2312"/>
          <w:b/>
          <w:spacing w:val="7"/>
          <w:w w:val="95"/>
          <w:sz w:val="32"/>
          <w:szCs w:val="32"/>
        </w:rPr>
        <w:t>）灾害防治及应急管理支出</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类</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消防事务</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款</w:t>
      </w:r>
      <w:r>
        <w:rPr>
          <w:rFonts w:hint="eastAsia" w:ascii="仿宋_GB2312" w:hAnsi="仿宋_GB2312" w:eastAsia="仿宋_GB2312" w:cs="仿宋_GB2312"/>
          <w:b/>
          <w:w w:val="95"/>
          <w:sz w:val="32"/>
          <w:szCs w:val="32"/>
        </w:rPr>
        <w:t xml:space="preserve">）  </w:t>
      </w:r>
      <w:r>
        <w:rPr>
          <w:rFonts w:hint="eastAsia" w:ascii="仿宋_GB2312" w:hAnsi="仿宋_GB2312" w:eastAsia="仿宋_GB2312" w:cs="仿宋_GB2312"/>
          <w:b/>
          <w:spacing w:val="-8"/>
          <w:sz w:val="32"/>
          <w:szCs w:val="32"/>
        </w:rPr>
        <w:t>消防应急救援</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50"/>
          <w:sz w:val="32"/>
          <w:szCs w:val="32"/>
        </w:rPr>
        <w:t>）</w:t>
      </w:r>
      <w:r>
        <w:rPr>
          <w:rFonts w:hint="eastAsia" w:ascii="仿宋_GB2312" w:hAnsi="仿宋_GB2312" w:eastAsia="仿宋_GB2312" w:cs="仿宋_GB2312"/>
          <w:spacing w:val="-8"/>
          <w:sz w:val="32"/>
          <w:szCs w:val="32"/>
        </w:rPr>
        <w:t>：指</w:t>
      </w:r>
      <w:r>
        <w:rPr>
          <w:rFonts w:hint="eastAsia" w:ascii="仿宋_GB2312" w:hAnsi="仿宋_GB2312" w:eastAsia="仿宋_GB2312" w:cs="仿宋_GB2312"/>
          <w:spacing w:val="-8"/>
          <w:sz w:val="32"/>
          <w:szCs w:val="32"/>
          <w:lang w:eastAsia="zh-CN"/>
        </w:rPr>
        <w:t xml:space="preserve">唐山市开平区消防救援大队 </w:t>
      </w:r>
      <w:r>
        <w:rPr>
          <w:rFonts w:hint="eastAsia" w:ascii="仿宋_GB2312" w:hAnsi="仿宋_GB2312" w:eastAsia="仿宋_GB2312" w:cs="仿宋_GB2312"/>
          <w:spacing w:val="-8"/>
          <w:sz w:val="32"/>
          <w:szCs w:val="32"/>
        </w:rPr>
        <w:t>开展消防应急</w:t>
      </w:r>
    </w:p>
    <w:p w14:paraId="34A995D0">
      <w:pPr>
        <w:pStyle w:val="4"/>
        <w:spacing w:line="522"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救援方面的支出。</w:t>
      </w:r>
    </w:p>
    <w:p w14:paraId="63CE9D0F">
      <w:pPr>
        <w:spacing w:line="225" w:lineRule="auto"/>
        <w:ind w:left="1800" w:right="1284"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pacing w:val="7"/>
          <w:w w:val="95"/>
          <w:sz w:val="32"/>
          <w:szCs w:val="32"/>
        </w:rPr>
        <w:t>（</w:t>
      </w:r>
      <w:r>
        <w:rPr>
          <w:rFonts w:hint="eastAsia" w:ascii="仿宋_GB2312" w:hAnsi="仿宋_GB2312" w:eastAsia="仿宋_GB2312" w:cs="仿宋_GB2312"/>
          <w:b/>
          <w:spacing w:val="8"/>
          <w:w w:val="95"/>
          <w:sz w:val="32"/>
          <w:szCs w:val="32"/>
        </w:rPr>
        <w:t>十五</w:t>
      </w:r>
      <w:r>
        <w:rPr>
          <w:rFonts w:hint="eastAsia" w:ascii="仿宋_GB2312" w:hAnsi="仿宋_GB2312" w:eastAsia="仿宋_GB2312" w:cs="仿宋_GB2312"/>
          <w:b/>
          <w:spacing w:val="7"/>
          <w:w w:val="95"/>
          <w:sz w:val="32"/>
          <w:szCs w:val="32"/>
        </w:rPr>
        <w:t>）灾害防治及应急管理支出</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类</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消防事务</w:t>
      </w:r>
      <w:r>
        <w:rPr>
          <w:rFonts w:hint="eastAsia" w:ascii="仿宋_GB2312" w:hAnsi="仿宋_GB2312" w:eastAsia="仿宋_GB2312" w:cs="仿宋_GB2312"/>
          <w:b/>
          <w:spacing w:val="9"/>
          <w:w w:val="95"/>
          <w:sz w:val="32"/>
          <w:szCs w:val="32"/>
        </w:rPr>
        <w:t>（</w:t>
      </w:r>
      <w:r>
        <w:rPr>
          <w:rFonts w:hint="eastAsia" w:ascii="仿宋_GB2312" w:hAnsi="仿宋_GB2312" w:eastAsia="仿宋_GB2312" w:cs="仿宋_GB2312"/>
          <w:b/>
          <w:spacing w:val="7"/>
          <w:w w:val="95"/>
          <w:sz w:val="32"/>
          <w:szCs w:val="32"/>
        </w:rPr>
        <w:t>款</w:t>
      </w:r>
      <w:r>
        <w:rPr>
          <w:rFonts w:hint="eastAsia" w:ascii="仿宋_GB2312" w:hAnsi="仿宋_GB2312" w:eastAsia="仿宋_GB2312" w:cs="仿宋_GB2312"/>
          <w:b/>
          <w:w w:val="95"/>
          <w:sz w:val="32"/>
          <w:szCs w:val="32"/>
        </w:rPr>
        <w:t xml:space="preserve">）  </w:t>
      </w:r>
      <w:r>
        <w:rPr>
          <w:rFonts w:hint="eastAsia" w:ascii="仿宋_GB2312" w:hAnsi="仿宋_GB2312" w:eastAsia="仿宋_GB2312" w:cs="仿宋_GB2312"/>
          <w:b/>
          <w:spacing w:val="-6"/>
          <w:sz w:val="32"/>
          <w:szCs w:val="32"/>
        </w:rPr>
        <w:t>其他消防事务支出</w:t>
      </w:r>
      <w:r>
        <w:rPr>
          <w:rFonts w:hint="eastAsia" w:ascii="仿宋_GB2312" w:hAnsi="仿宋_GB2312" w:eastAsia="仿宋_GB2312" w:cs="仿宋_GB2312"/>
          <w:b/>
          <w:sz w:val="32"/>
          <w:szCs w:val="32"/>
        </w:rPr>
        <w:t>（项</w:t>
      </w:r>
      <w:r>
        <w:rPr>
          <w:rFonts w:hint="eastAsia" w:ascii="仿宋_GB2312" w:hAnsi="仿宋_GB2312" w:eastAsia="仿宋_GB2312" w:cs="仿宋_GB2312"/>
          <w:b/>
          <w:spacing w:val="-50"/>
          <w:sz w:val="32"/>
          <w:szCs w:val="32"/>
        </w:rPr>
        <w:t>）</w:t>
      </w:r>
      <w:r>
        <w:rPr>
          <w:rFonts w:hint="eastAsia" w:ascii="仿宋_GB2312" w:hAnsi="仿宋_GB2312" w:eastAsia="仿宋_GB2312" w:cs="仿宋_GB2312"/>
          <w:spacing w:val="-8"/>
          <w:sz w:val="32"/>
          <w:szCs w:val="32"/>
        </w:rPr>
        <w:t>：指</w:t>
      </w:r>
      <w:r>
        <w:rPr>
          <w:rFonts w:hint="eastAsia" w:ascii="仿宋_GB2312" w:hAnsi="仿宋_GB2312" w:eastAsia="仿宋_GB2312" w:cs="仿宋_GB2312"/>
          <w:spacing w:val="-8"/>
          <w:sz w:val="32"/>
          <w:szCs w:val="32"/>
          <w:lang w:eastAsia="zh-CN"/>
        </w:rPr>
        <w:t xml:space="preserve">唐山市开平区消防救援大队 </w:t>
      </w:r>
      <w:r>
        <w:rPr>
          <w:rFonts w:hint="eastAsia" w:ascii="仿宋_GB2312" w:hAnsi="仿宋_GB2312" w:eastAsia="仿宋_GB2312" w:cs="仿宋_GB2312"/>
          <w:spacing w:val="-8"/>
          <w:sz w:val="32"/>
          <w:szCs w:val="32"/>
        </w:rPr>
        <w:t>部门机动费项目支出及消防产品合格评定中心的各项支出。</w:t>
      </w:r>
    </w:p>
    <w:p w14:paraId="4F53D6FF">
      <w:pPr>
        <w:spacing w:line="545"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（十六</w:t>
      </w:r>
      <w:r>
        <w:rPr>
          <w:rFonts w:hint="eastAsia" w:ascii="仿宋_GB2312" w:hAnsi="仿宋_GB2312" w:eastAsia="仿宋_GB2312" w:cs="仿宋_GB2312"/>
          <w:b/>
          <w:spacing w:val="-75"/>
          <w:sz w:val="32"/>
          <w:szCs w:val="32"/>
        </w:rPr>
        <w:t>）</w:t>
      </w:r>
      <w:r>
        <w:rPr>
          <w:rFonts w:hint="eastAsia" w:ascii="仿宋_GB2312" w:hAnsi="仿宋_GB2312" w:eastAsia="仿宋_GB2312" w:cs="仿宋_GB2312"/>
          <w:b/>
          <w:spacing w:val="-15"/>
          <w:sz w:val="32"/>
          <w:szCs w:val="32"/>
        </w:rPr>
        <w:t>结余分配：</w:t>
      </w:r>
      <w:r>
        <w:rPr>
          <w:rFonts w:hint="eastAsia" w:ascii="仿宋_GB2312" w:hAnsi="仿宋_GB2312" w:eastAsia="仿宋_GB2312" w:cs="仿宋_GB2312"/>
          <w:sz w:val="32"/>
          <w:szCs w:val="32"/>
        </w:rPr>
        <w:t>指事业单位按照会计制度规定缴纳的所</w:t>
      </w:r>
    </w:p>
    <w:p w14:paraId="4FB6FB71">
      <w:pPr>
        <w:pStyle w:val="4"/>
        <w:spacing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spacing w:val="6"/>
          <w:w w:val="95"/>
          <w:sz w:val="32"/>
          <w:szCs w:val="32"/>
        </w:rPr>
        <w:t xml:space="preserve">得税以及从非财政补助结余中提取的职工福利基金、事业基金  </w:t>
      </w:r>
      <w:r>
        <w:rPr>
          <w:rFonts w:hint="eastAsia" w:ascii="仿宋_GB2312" w:hAnsi="仿宋_GB2312" w:eastAsia="仿宋_GB2312" w:cs="仿宋_GB2312"/>
          <w:spacing w:val="6"/>
          <w:sz w:val="32"/>
          <w:szCs w:val="32"/>
        </w:rPr>
        <w:t>等。</w:t>
      </w:r>
    </w:p>
    <w:p w14:paraId="18A662F5">
      <w:pPr>
        <w:spacing w:line="503"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（十七</w:t>
      </w:r>
      <w:r>
        <w:rPr>
          <w:rFonts w:hint="eastAsia" w:ascii="仿宋_GB2312" w:hAnsi="仿宋_GB2312" w:eastAsia="仿宋_GB2312" w:cs="仿宋_GB2312"/>
          <w:b/>
          <w:spacing w:val="-75"/>
          <w:sz w:val="32"/>
          <w:szCs w:val="32"/>
        </w:rPr>
        <w:t>）</w:t>
      </w:r>
      <w:r>
        <w:rPr>
          <w:rFonts w:hint="eastAsia" w:ascii="仿宋_GB2312" w:hAnsi="仿宋_GB2312" w:eastAsia="仿宋_GB2312" w:cs="仿宋_GB2312"/>
          <w:b/>
          <w:spacing w:val="-10"/>
          <w:sz w:val="32"/>
          <w:szCs w:val="32"/>
        </w:rPr>
        <w:t>年末结转和结余：</w:t>
      </w:r>
      <w:r>
        <w:rPr>
          <w:rFonts w:hint="eastAsia" w:ascii="仿宋_GB2312" w:hAnsi="仿宋_GB2312" w:eastAsia="仿宋_GB2312" w:cs="仿宋_GB2312"/>
          <w:sz w:val="32"/>
          <w:szCs w:val="32"/>
        </w:rPr>
        <w:t>指单位本年度或以前年度预算安</w:t>
      </w:r>
    </w:p>
    <w:p w14:paraId="65B27F67">
      <w:pPr>
        <w:pStyle w:val="4"/>
        <w:spacing w:before="3" w:line="232" w:lineRule="auto"/>
        <w:ind w:left="1800" w:right="1284"/>
        <w:rPr>
          <w:rFonts w:hint="eastAsia" w:ascii="仿宋_GB2312" w:hAnsi="仿宋_GB2312" w:eastAsia="仿宋_GB2312" w:cs="仿宋_GB2312"/>
          <w:sz w:val="32"/>
          <w:szCs w:val="32"/>
        </w:rPr>
      </w:pPr>
      <w:r>
        <w:rPr>
          <w:rFonts w:hint="eastAsia" w:ascii="仿宋_GB2312" w:hAnsi="仿宋_GB2312" w:eastAsia="仿宋_GB2312" w:cs="仿宋_GB2312"/>
          <w:spacing w:val="-12"/>
          <w:w w:val="95"/>
          <w:sz w:val="32"/>
          <w:szCs w:val="32"/>
        </w:rPr>
        <w:t xml:space="preserve">排、因客观条件发生变化未全部执行或未执行，结转到以后年度  </w:t>
      </w:r>
      <w:r>
        <w:rPr>
          <w:rFonts w:hint="eastAsia" w:ascii="仿宋_GB2312" w:hAnsi="仿宋_GB2312" w:eastAsia="仿宋_GB2312" w:cs="仿宋_GB2312"/>
          <w:spacing w:val="-12"/>
          <w:sz w:val="32"/>
          <w:szCs w:val="32"/>
        </w:rPr>
        <w:t>继续使用的资金，或项目已完成等产生的结余资金。</w:t>
      </w:r>
    </w:p>
    <w:p w14:paraId="25E3EABA">
      <w:pPr>
        <w:spacing w:line="536"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（十八）基本支出：</w:t>
      </w:r>
      <w:r>
        <w:rPr>
          <w:rFonts w:hint="eastAsia" w:ascii="仿宋_GB2312" w:hAnsi="仿宋_GB2312" w:eastAsia="仿宋_GB2312" w:cs="仿宋_GB2312"/>
          <w:sz w:val="32"/>
          <w:szCs w:val="32"/>
        </w:rPr>
        <w:t>指为保障机构正常运转、完成日常工作</w:t>
      </w:r>
    </w:p>
    <w:p w14:paraId="003F9DEB">
      <w:pPr>
        <w:pStyle w:val="4"/>
        <w:spacing w:line="54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任务而发生的人员支出和公用支出。</w:t>
      </w:r>
    </w:p>
    <w:p w14:paraId="0EE1BDE5">
      <w:pPr>
        <w:spacing w:line="549" w:lineRule="exact"/>
        <w:rPr>
          <w:rFonts w:hint="eastAsia" w:ascii="仿宋_GB2312" w:hAnsi="仿宋_GB2312" w:eastAsia="仿宋_GB2312" w:cs="仿宋_GB2312"/>
          <w:sz w:val="32"/>
          <w:szCs w:val="32"/>
        </w:rPr>
        <w:sectPr>
          <w:pgSz w:w="11910" w:h="16840"/>
          <w:pgMar w:top="1500" w:right="0" w:bottom="1160" w:left="0" w:header="0" w:footer="895" w:gutter="0"/>
          <w:cols w:space="720" w:num="1"/>
        </w:sectPr>
      </w:pPr>
    </w:p>
    <w:p w14:paraId="7776A9EB">
      <w:pPr>
        <w:spacing w:line="520"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（十九</w:t>
      </w:r>
      <w:r>
        <w:rPr>
          <w:rFonts w:hint="eastAsia" w:ascii="仿宋_GB2312" w:hAnsi="仿宋_GB2312" w:eastAsia="仿宋_GB2312" w:cs="仿宋_GB2312"/>
          <w:b/>
          <w:spacing w:val="-75"/>
          <w:sz w:val="32"/>
          <w:szCs w:val="32"/>
        </w:rPr>
        <w:t>）</w:t>
      </w:r>
      <w:r>
        <w:rPr>
          <w:rFonts w:hint="eastAsia" w:ascii="仿宋_GB2312" w:hAnsi="仿宋_GB2312" w:eastAsia="仿宋_GB2312" w:cs="仿宋_GB2312"/>
          <w:b/>
          <w:spacing w:val="-15"/>
          <w:sz w:val="32"/>
          <w:szCs w:val="32"/>
        </w:rPr>
        <w:t>项目支出：</w:t>
      </w:r>
      <w:r>
        <w:rPr>
          <w:rFonts w:hint="eastAsia" w:ascii="仿宋_GB2312" w:hAnsi="仿宋_GB2312" w:eastAsia="仿宋_GB2312" w:cs="仿宋_GB2312"/>
          <w:sz w:val="32"/>
          <w:szCs w:val="32"/>
        </w:rPr>
        <w:t>指在基本支出之外为完成特定行政任务</w:t>
      </w:r>
    </w:p>
    <w:p w14:paraId="2FB067CC">
      <w:pPr>
        <w:pStyle w:val="4"/>
        <w:spacing w:line="519" w:lineRule="exact"/>
        <w:ind w:left="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和事业发展目标所发生的支出。</w:t>
      </w:r>
    </w:p>
    <w:p w14:paraId="55FF6184">
      <w:pPr>
        <w:spacing w:line="561"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（二十）“三公”经费：</w:t>
      </w:r>
      <w:r>
        <w:rPr>
          <w:rFonts w:hint="eastAsia" w:ascii="仿宋_GB2312" w:hAnsi="仿宋_GB2312" w:eastAsia="仿宋_GB2312" w:cs="仿宋_GB2312"/>
          <w:sz w:val="32"/>
          <w:szCs w:val="32"/>
        </w:rPr>
        <w:t>纳入中央财政预决算管理的“三公”</w:t>
      </w:r>
    </w:p>
    <w:p w14:paraId="6F39FD20">
      <w:pPr>
        <w:pStyle w:val="4"/>
        <w:spacing w:before="3" w:line="232" w:lineRule="auto"/>
        <w:ind w:left="1800" w:right="1146"/>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经费，是指中央部门用财政拨款安排的因公出国</w:t>
      </w:r>
      <w:r>
        <w:rPr>
          <w:rFonts w:hint="eastAsia" w:ascii="仿宋_GB2312" w:hAnsi="仿宋_GB2312" w:eastAsia="仿宋_GB2312" w:cs="仿宋_GB2312"/>
          <w:sz w:val="32"/>
          <w:szCs w:val="32"/>
        </w:rPr>
        <w:t>（境</w:t>
      </w:r>
      <w:r>
        <w:rPr>
          <w:rFonts w:hint="eastAsia" w:ascii="仿宋_GB2312" w:hAnsi="仿宋_GB2312" w:eastAsia="仿宋_GB2312" w:cs="仿宋_GB2312"/>
          <w:spacing w:val="-34"/>
          <w:sz w:val="32"/>
          <w:szCs w:val="32"/>
        </w:rPr>
        <w:t>）</w:t>
      </w:r>
      <w:r>
        <w:rPr>
          <w:rFonts w:hint="eastAsia" w:ascii="仿宋_GB2312" w:hAnsi="仿宋_GB2312" w:eastAsia="仿宋_GB2312" w:cs="仿宋_GB2312"/>
          <w:spacing w:val="-9"/>
          <w:sz w:val="32"/>
          <w:szCs w:val="32"/>
        </w:rPr>
        <w:t>费、公务</w:t>
      </w:r>
      <w:r>
        <w:rPr>
          <w:rFonts w:hint="eastAsia" w:ascii="仿宋_GB2312" w:hAnsi="仿宋_GB2312" w:eastAsia="仿宋_GB2312" w:cs="仿宋_GB2312"/>
          <w:spacing w:val="-14"/>
          <w:sz w:val="32"/>
          <w:szCs w:val="32"/>
        </w:rPr>
        <w:t>用车购置及运行费和公务接待费。其中，因公出国</w:t>
      </w:r>
      <w:r>
        <w:rPr>
          <w:rFonts w:hint="eastAsia" w:ascii="仿宋_GB2312" w:hAnsi="仿宋_GB2312" w:eastAsia="仿宋_GB2312" w:cs="仿宋_GB2312"/>
          <w:sz w:val="32"/>
          <w:szCs w:val="32"/>
        </w:rPr>
        <w:t>（境</w:t>
      </w:r>
      <w:r>
        <w:rPr>
          <w:rFonts w:hint="eastAsia" w:ascii="仿宋_GB2312" w:hAnsi="仿宋_GB2312" w:eastAsia="仿宋_GB2312" w:cs="仿宋_GB2312"/>
          <w:spacing w:val="-34"/>
          <w:sz w:val="32"/>
          <w:szCs w:val="32"/>
        </w:rPr>
        <w:t>）</w:t>
      </w:r>
      <w:r>
        <w:rPr>
          <w:rFonts w:hint="eastAsia" w:ascii="仿宋_GB2312" w:hAnsi="仿宋_GB2312" w:eastAsia="仿宋_GB2312" w:cs="仿宋_GB2312"/>
          <w:sz w:val="32"/>
          <w:szCs w:val="32"/>
        </w:rPr>
        <w:t>费反映单位公务出国（境）</w:t>
      </w:r>
      <w:r>
        <w:rPr>
          <w:rFonts w:hint="eastAsia" w:ascii="仿宋_GB2312" w:hAnsi="仿宋_GB2312" w:eastAsia="仿宋_GB2312" w:cs="仿宋_GB2312"/>
          <w:spacing w:val="-1"/>
          <w:sz w:val="32"/>
          <w:szCs w:val="32"/>
        </w:rPr>
        <w:t>的国际旅费、国外城市间交通费、住宿费、</w:t>
      </w:r>
      <w:r>
        <w:rPr>
          <w:rFonts w:hint="eastAsia" w:ascii="仿宋_GB2312" w:hAnsi="仿宋_GB2312" w:eastAsia="仿宋_GB2312" w:cs="仿宋_GB2312"/>
          <w:spacing w:val="-13"/>
          <w:sz w:val="32"/>
          <w:szCs w:val="32"/>
        </w:rPr>
        <w:t>伙食费、培训费、公杂费等支出；公务用车购置及运行费反映单位公务用车车辆购置支出（含车辆购置税）及租用费、燃料费、</w:t>
      </w:r>
      <w:r>
        <w:rPr>
          <w:rFonts w:hint="eastAsia" w:ascii="仿宋_GB2312" w:hAnsi="仿宋_GB2312" w:eastAsia="仿宋_GB2312" w:cs="仿宋_GB2312"/>
          <w:spacing w:val="-12"/>
          <w:sz w:val="32"/>
          <w:szCs w:val="32"/>
        </w:rPr>
        <w:t>维修费、过路过桥费、保险费、安全奖励费用等支出；公务接待费反映单位按规定开支的各类公务接待（含外宾接待）支出。</w:t>
      </w:r>
    </w:p>
    <w:p w14:paraId="3370FA84">
      <w:pPr>
        <w:spacing w:line="535" w:lineRule="exact"/>
        <w:ind w:left="24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（二十一</w:t>
      </w:r>
      <w:r>
        <w:rPr>
          <w:rFonts w:hint="eastAsia" w:ascii="仿宋_GB2312" w:hAnsi="仿宋_GB2312" w:eastAsia="仿宋_GB2312" w:cs="仿宋_GB2312"/>
          <w:b/>
          <w:spacing w:val="-51"/>
          <w:sz w:val="32"/>
          <w:szCs w:val="32"/>
        </w:rPr>
        <w:t>）</w:t>
      </w:r>
      <w:r>
        <w:rPr>
          <w:rFonts w:hint="eastAsia" w:ascii="仿宋_GB2312" w:hAnsi="仿宋_GB2312" w:eastAsia="仿宋_GB2312" w:cs="仿宋_GB2312"/>
          <w:b/>
          <w:spacing w:val="-7"/>
          <w:sz w:val="32"/>
          <w:szCs w:val="32"/>
        </w:rPr>
        <w:t>机关运行经费：</w:t>
      </w:r>
      <w:r>
        <w:rPr>
          <w:rFonts w:hint="eastAsia" w:ascii="仿宋_GB2312" w:hAnsi="仿宋_GB2312" w:eastAsia="仿宋_GB2312" w:cs="仿宋_GB2312"/>
          <w:spacing w:val="-8"/>
          <w:sz w:val="32"/>
          <w:szCs w:val="32"/>
        </w:rPr>
        <w:t>为保障行政单位</w:t>
      </w:r>
      <w:r>
        <w:rPr>
          <w:rFonts w:hint="eastAsia" w:ascii="仿宋_GB2312" w:hAnsi="仿宋_GB2312" w:eastAsia="仿宋_GB2312" w:cs="仿宋_GB2312"/>
          <w:sz w:val="32"/>
          <w:szCs w:val="32"/>
        </w:rPr>
        <w:t>（包括参照公务</w:t>
      </w:r>
    </w:p>
    <w:p w14:paraId="5A04BA39">
      <w:pPr>
        <w:pStyle w:val="4"/>
        <w:spacing w:before="3" w:line="232" w:lineRule="auto"/>
        <w:ind w:left="1800" w:right="11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员法管理事业单位</w:t>
      </w:r>
      <w:r>
        <w:rPr>
          <w:rFonts w:hint="eastAsia" w:ascii="仿宋_GB2312" w:hAnsi="仿宋_GB2312" w:eastAsia="仿宋_GB2312" w:cs="仿宋_GB2312"/>
          <w:spacing w:val="-70"/>
          <w:sz w:val="32"/>
          <w:szCs w:val="32"/>
        </w:rPr>
        <w:t>）</w:t>
      </w:r>
      <w:r>
        <w:rPr>
          <w:rFonts w:hint="eastAsia" w:ascii="仿宋_GB2312" w:hAnsi="仿宋_GB2312" w:eastAsia="仿宋_GB2312" w:cs="仿宋_GB2312"/>
          <w:spacing w:val="-5"/>
          <w:sz w:val="32"/>
          <w:szCs w:val="32"/>
        </w:rPr>
        <w:t>运行用于购买货物和服务的各项资金，包括</w:t>
      </w:r>
      <w:r>
        <w:rPr>
          <w:rFonts w:hint="eastAsia" w:ascii="仿宋_GB2312" w:hAnsi="仿宋_GB2312" w:eastAsia="仿宋_GB2312" w:cs="仿宋_GB2312"/>
          <w:spacing w:val="-21"/>
          <w:w w:val="95"/>
          <w:sz w:val="32"/>
          <w:szCs w:val="32"/>
        </w:rPr>
        <w:t xml:space="preserve">办公及印刷费、邮电费、差旅费、会议费、福利费、日常维修费、  </w:t>
      </w:r>
      <w:r>
        <w:rPr>
          <w:rFonts w:hint="eastAsia" w:ascii="仿宋_GB2312" w:hAnsi="仿宋_GB2312" w:eastAsia="仿宋_GB2312" w:cs="仿宋_GB2312"/>
          <w:spacing w:val="-25"/>
          <w:w w:val="95"/>
          <w:sz w:val="32"/>
          <w:szCs w:val="32"/>
        </w:rPr>
        <w:t xml:space="preserve">专用材料及一般设备购置费、办公用房水电费、办公用房取暖费、  </w:t>
      </w:r>
      <w:r>
        <w:rPr>
          <w:rFonts w:hint="eastAsia" w:ascii="仿宋_GB2312" w:hAnsi="仿宋_GB2312" w:eastAsia="仿宋_GB2312" w:cs="仿宋_GB2312"/>
          <w:spacing w:val="-25"/>
          <w:sz w:val="32"/>
          <w:szCs w:val="32"/>
        </w:rPr>
        <w:t>办公用房物业管理费、公务用车运行维护费以及其他费用。</w:t>
      </w:r>
    </w:p>
    <w:sectPr>
      <w:pgSz w:w="11910" w:h="16840"/>
      <w:pgMar w:top="1500" w:right="0" w:bottom="1160" w:left="0" w:header="0" w:footer="8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 w:name="华文楷体">
    <w:altName w:val="楷体_GB2312"/>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7C0EC">
    <w:pPr>
      <w:pStyle w:val="4"/>
      <w:spacing w:line="14" w:lineRule="auto"/>
      <w:rPr>
        <w:sz w:val="12"/>
      </w:rPr>
    </w:pPr>
    <w:r>
      <w:pict>
        <v:shape id="_x0000_s2049" o:spid="_x0000_s2049" o:spt="202" type="#_x0000_t202" style="position:absolute;left:0pt;margin-left:306.15pt;margin-top:782.1pt;height:11pt;width:8.6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57814E36">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05EA8">
    <w:pPr>
      <w:pStyle w:val="4"/>
      <w:spacing w:line="14" w:lineRule="auto"/>
      <w:rPr>
        <w:sz w:val="20"/>
      </w:rPr>
    </w:pPr>
    <w:r>
      <w:pict>
        <v:shape id="_x0000_s2050" o:spid="_x0000_s2050" o:spt="202" type="#_x0000_t202" style="position:absolute;left:0pt;margin-left:304pt;margin-top:782.1pt;height:11pt;width:13.1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29FC4745">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84976">
    <w:pPr>
      <w:pStyle w:val="4"/>
      <w:spacing w:line="14" w:lineRule="auto"/>
      <w:rPr>
        <w:sz w:val="12"/>
      </w:rPr>
    </w:pPr>
    <w:r>
      <w:pict>
        <v:shape id="_x0000_s2051" o:spid="_x0000_s2051" o:spt="202" type="#_x0000_t202" style="position:absolute;left:0pt;margin-left:304pt;margin-top:782.1pt;height:11pt;width:13.1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5C1EBCC4">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2682" w:hanging="242"/>
        <w:jc w:val="left"/>
      </w:pPr>
      <w:rPr>
        <w:rFonts w:hint="default"/>
        <w:spacing w:val="-1"/>
        <w:w w:val="99"/>
        <w:lang w:val="zh-CN" w:eastAsia="zh-CN" w:bidi="zh-CN"/>
      </w:rPr>
    </w:lvl>
    <w:lvl w:ilvl="1" w:tentative="0">
      <w:start w:val="0"/>
      <w:numFmt w:val="bullet"/>
      <w:lvlText w:val="•"/>
      <w:lvlJc w:val="left"/>
      <w:pPr>
        <w:ind w:left="3602" w:hanging="242"/>
      </w:pPr>
      <w:rPr>
        <w:rFonts w:hint="default"/>
        <w:lang w:val="zh-CN" w:eastAsia="zh-CN" w:bidi="zh-CN"/>
      </w:rPr>
    </w:lvl>
    <w:lvl w:ilvl="2" w:tentative="0">
      <w:start w:val="0"/>
      <w:numFmt w:val="bullet"/>
      <w:lvlText w:val="•"/>
      <w:lvlJc w:val="left"/>
      <w:pPr>
        <w:ind w:left="4525" w:hanging="242"/>
      </w:pPr>
      <w:rPr>
        <w:rFonts w:hint="default"/>
        <w:lang w:val="zh-CN" w:eastAsia="zh-CN" w:bidi="zh-CN"/>
      </w:rPr>
    </w:lvl>
    <w:lvl w:ilvl="3" w:tentative="0">
      <w:start w:val="0"/>
      <w:numFmt w:val="bullet"/>
      <w:lvlText w:val="•"/>
      <w:lvlJc w:val="left"/>
      <w:pPr>
        <w:ind w:left="5447" w:hanging="242"/>
      </w:pPr>
      <w:rPr>
        <w:rFonts w:hint="default"/>
        <w:lang w:val="zh-CN" w:eastAsia="zh-CN" w:bidi="zh-CN"/>
      </w:rPr>
    </w:lvl>
    <w:lvl w:ilvl="4" w:tentative="0">
      <w:start w:val="0"/>
      <w:numFmt w:val="bullet"/>
      <w:lvlText w:val="•"/>
      <w:lvlJc w:val="left"/>
      <w:pPr>
        <w:ind w:left="6370" w:hanging="242"/>
      </w:pPr>
      <w:rPr>
        <w:rFonts w:hint="default"/>
        <w:lang w:val="zh-CN" w:eastAsia="zh-CN" w:bidi="zh-CN"/>
      </w:rPr>
    </w:lvl>
    <w:lvl w:ilvl="5" w:tentative="0">
      <w:start w:val="0"/>
      <w:numFmt w:val="bullet"/>
      <w:lvlText w:val="•"/>
      <w:lvlJc w:val="left"/>
      <w:pPr>
        <w:ind w:left="7293" w:hanging="242"/>
      </w:pPr>
      <w:rPr>
        <w:rFonts w:hint="default"/>
        <w:lang w:val="zh-CN" w:eastAsia="zh-CN" w:bidi="zh-CN"/>
      </w:rPr>
    </w:lvl>
    <w:lvl w:ilvl="6" w:tentative="0">
      <w:start w:val="0"/>
      <w:numFmt w:val="bullet"/>
      <w:lvlText w:val="•"/>
      <w:lvlJc w:val="left"/>
      <w:pPr>
        <w:ind w:left="8215" w:hanging="242"/>
      </w:pPr>
      <w:rPr>
        <w:rFonts w:hint="default"/>
        <w:lang w:val="zh-CN" w:eastAsia="zh-CN" w:bidi="zh-CN"/>
      </w:rPr>
    </w:lvl>
    <w:lvl w:ilvl="7" w:tentative="0">
      <w:start w:val="0"/>
      <w:numFmt w:val="bullet"/>
      <w:lvlText w:val="•"/>
      <w:lvlJc w:val="left"/>
      <w:pPr>
        <w:ind w:left="9138" w:hanging="242"/>
      </w:pPr>
      <w:rPr>
        <w:rFonts w:hint="default"/>
        <w:lang w:val="zh-CN" w:eastAsia="zh-CN" w:bidi="zh-CN"/>
      </w:rPr>
    </w:lvl>
    <w:lvl w:ilvl="8" w:tentative="0">
      <w:start w:val="0"/>
      <w:numFmt w:val="bullet"/>
      <w:lvlText w:val="•"/>
      <w:lvlJc w:val="left"/>
      <w:pPr>
        <w:ind w:left="10060" w:hanging="242"/>
      </w:pPr>
      <w:rPr>
        <w:rFonts w:hint="default"/>
        <w:lang w:val="zh-CN" w:eastAsia="zh-CN" w:bidi="zh-CN"/>
      </w:rPr>
    </w:lvl>
  </w:abstractNum>
  <w:abstractNum w:abstractNumId="1">
    <w:nsid w:val="57F7BAF5"/>
    <w:multiLevelType w:val="singleLevel"/>
    <w:tmpl w:val="57F7BAF5"/>
    <w:lvl w:ilvl="0" w:tentative="0">
      <w:start w:val="1"/>
      <w:numFmt w:val="chineseCounting"/>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jM3NzBlZTYzZjBlYzg3NmVkN2Q3M2MyMzRlMzRlODUifQ=="/>
  </w:docVars>
  <w:rsids>
    <w:rsidRoot w:val="00EE4FD9"/>
    <w:rsid w:val="001F419D"/>
    <w:rsid w:val="00540B5E"/>
    <w:rsid w:val="00BD4783"/>
    <w:rsid w:val="00EE4FD9"/>
    <w:rsid w:val="017B45DB"/>
    <w:rsid w:val="17485BB5"/>
    <w:rsid w:val="17EA2B26"/>
    <w:rsid w:val="1A0A4184"/>
    <w:rsid w:val="1B6D61A1"/>
    <w:rsid w:val="1E7C27F0"/>
    <w:rsid w:val="22160D89"/>
    <w:rsid w:val="227930C6"/>
    <w:rsid w:val="253E5F41"/>
    <w:rsid w:val="275D05C9"/>
    <w:rsid w:val="2BF0264B"/>
    <w:rsid w:val="30644469"/>
    <w:rsid w:val="367D5081"/>
    <w:rsid w:val="373D426B"/>
    <w:rsid w:val="3A084A29"/>
    <w:rsid w:val="3C325C79"/>
    <w:rsid w:val="3D762284"/>
    <w:rsid w:val="3D801355"/>
    <w:rsid w:val="3ED43706"/>
    <w:rsid w:val="43435D3F"/>
    <w:rsid w:val="44564BBE"/>
    <w:rsid w:val="4738039B"/>
    <w:rsid w:val="487D7EF8"/>
    <w:rsid w:val="48AA16D5"/>
    <w:rsid w:val="4F6D37A3"/>
    <w:rsid w:val="56C65EB6"/>
    <w:rsid w:val="5C45759A"/>
    <w:rsid w:val="5CAF4AE8"/>
    <w:rsid w:val="649671AB"/>
    <w:rsid w:val="6C692141"/>
    <w:rsid w:val="6F395346"/>
    <w:rsid w:val="72622634"/>
    <w:rsid w:val="72A66542"/>
    <w:rsid w:val="744C19F6"/>
    <w:rsid w:val="7ECB00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spacing w:line="947" w:lineRule="exact"/>
      <w:ind w:left="34"/>
      <w:jc w:val="center"/>
      <w:outlineLvl w:val="0"/>
    </w:pPr>
    <w:rPr>
      <w:rFonts w:ascii="Microsoft JhengHei" w:hAnsi="Microsoft JhengHei" w:eastAsia="Microsoft JhengHei" w:cs="Microsoft JhengHei"/>
      <w:b/>
      <w:bCs/>
      <w:sz w:val="52"/>
      <w:szCs w:val="52"/>
    </w:rPr>
  </w:style>
  <w:style w:type="paragraph" w:styleId="3">
    <w:name w:val="heading 2"/>
    <w:basedOn w:val="1"/>
    <w:next w:val="1"/>
    <w:qFormat/>
    <w:uiPriority w:val="1"/>
    <w:pPr>
      <w:spacing w:line="510" w:lineRule="exact"/>
      <w:ind w:left="2440"/>
      <w:outlineLvl w:val="1"/>
    </w:pPr>
    <w:rPr>
      <w:rFonts w:ascii="Microsoft JhengHei" w:hAnsi="Microsoft JhengHei" w:eastAsia="Microsoft JhengHei" w:cs="Microsoft JhengHe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alloon Text"/>
    <w:basedOn w:val="1"/>
    <w:link w:val="11"/>
    <w:qFormat/>
    <w:uiPriority w:val="0"/>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line="547" w:lineRule="exact"/>
      <w:ind w:left="2680" w:hanging="241"/>
    </w:pPr>
    <w:rPr>
      <w:rFonts w:ascii="Microsoft JhengHei" w:hAnsi="Microsoft JhengHei" w:eastAsia="Microsoft JhengHei" w:cs="Microsoft JhengHei"/>
    </w:rPr>
  </w:style>
  <w:style w:type="paragraph" w:customStyle="1" w:styleId="10">
    <w:name w:val="Table Paragraph"/>
    <w:basedOn w:val="1"/>
    <w:qFormat/>
    <w:uiPriority w:val="1"/>
    <w:pPr>
      <w:spacing w:before="107"/>
      <w:ind w:left="9" w:right="1466"/>
      <w:jc w:val="center"/>
    </w:pPr>
    <w:rPr>
      <w:rFonts w:ascii="宋体" w:hAnsi="宋体" w:eastAsia="宋体" w:cs="宋体"/>
    </w:rPr>
  </w:style>
  <w:style w:type="character" w:customStyle="1" w:styleId="11">
    <w:name w:val="批注框文本 Char"/>
    <w:basedOn w:val="7"/>
    <w:link w:val="5"/>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6.xml"/><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1"/>
          <c:order val="0"/>
          <c:tx>
            <c:strRef>
              <c:f>Sheet1!$C$1</c:f>
              <c:strCache>
                <c:ptCount val="1"/>
                <c:pt idx="0">
                  <c:v/>
                </c:pt>
              </c:strCache>
            </c:strRef>
          </c:tx>
          <c:spPr>
            <a:solidFill>
              <a:schemeClr val="accent1"/>
            </a:solidFill>
            <a:ln>
              <a:noFill/>
            </a:ln>
            <a:effectLst/>
          </c:spPr>
          <c:invertIfNegative val="0"/>
          <c:dLbls>
            <c:delete val="1"/>
          </c:dLbls>
          <c:cat>
            <c:strRef>
              <c:f>Sheet1!$A$2:$A$5</c:f>
              <c:strCache>
                <c:ptCount val="4"/>
                <c:pt idx="0">
                  <c:v>2023年收入102.69万元</c:v>
                </c:pt>
                <c:pt idx="1">
                  <c:v>2022年收入61.22万元</c:v>
                </c:pt>
                <c:pt idx="2">
                  <c:v>2023年支出147.84万元</c:v>
                </c:pt>
                <c:pt idx="3">
                  <c:v>2022年支出79.58万元</c:v>
                </c:pt>
              </c:strCache>
            </c:strRef>
          </c:cat>
          <c:val>
            <c:numRef>
              <c:f>Sheet1!$C$2:$C$5</c:f>
              <c:numCache>
                <c:formatCode>General</c:formatCode>
                <c:ptCount val="4"/>
                <c:pt idx="0">
                  <c:v>102.69</c:v>
                </c:pt>
                <c:pt idx="1">
                  <c:v>61.22</c:v>
                </c:pt>
                <c:pt idx="2">
                  <c:v>147.84</c:v>
                </c:pt>
                <c:pt idx="3">
                  <c:v>79.58</c:v>
                </c:pt>
              </c:numCache>
            </c:numRef>
          </c:val>
        </c:ser>
        <c:dLbls>
          <c:showLegendKey val="0"/>
          <c:showVal val="0"/>
          <c:showCatName val="0"/>
          <c:showSerName val="0"/>
          <c:showPercent val="0"/>
          <c:showBubbleSize val="0"/>
        </c:dLbls>
        <c:gapWidth val="246"/>
        <c:overlap val="-28"/>
        <c:axId val="608536550"/>
        <c:axId val="603330078"/>
      </c:barChart>
      <c:catAx>
        <c:axId val="60853655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3330078"/>
        <c:crosses val="autoZero"/>
        <c:auto val="1"/>
        <c:lblAlgn val="ctr"/>
        <c:lblOffset val="100"/>
        <c:noMultiLvlLbl val="0"/>
      </c:catAx>
      <c:valAx>
        <c:axId val="60333007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85365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Sheet1!$A$2:$A$3</c:f>
              <c:strCache>
                <c:ptCount val="2"/>
                <c:pt idx="0">
                  <c:v>其他收入96.6%</c:v>
                </c:pt>
                <c:pt idx="1">
                  <c:v>财政拨款收入3.4%</c:v>
                </c:pt>
              </c:strCache>
            </c:strRef>
          </c:cat>
          <c:val>
            <c:numRef>
              <c:f>Sheet1!$B$2:$B$3</c:f>
              <c:numCache>
                <c:formatCode>0.00%</c:formatCode>
                <c:ptCount val="2"/>
                <c:pt idx="0">
                  <c:v>0.966</c:v>
                </c:pt>
                <c:pt idx="1">
                  <c:v>0.034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Sheet1!$A$2:$A$3</c:f>
              <c:strCache>
                <c:ptCount val="2"/>
                <c:pt idx="0">
                  <c:v>基本支出</c:v>
                </c:pt>
                <c:pt idx="1">
                  <c:v>项目支出100%</c:v>
                </c:pt>
              </c:strCache>
            </c:strRef>
          </c:cat>
          <c:val>
            <c:numRef>
              <c:f>Sheet1!$B$2:$B$3</c:f>
              <c:numCache>
                <c:formatCode>0%</c:formatCode>
                <c:ptCount val="2"/>
                <c:pt idx="0">
                  <c:v>0</c:v>
                </c:pt>
                <c:pt idx="1">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2023年</c:v>
                </c:pt>
                <c:pt idx="1">
                  <c:v>2022年</c:v>
                </c:pt>
              </c:strCache>
            </c:strRef>
          </c:cat>
          <c:val>
            <c:numRef>
              <c:f>Sheet1!$B$2:$B$3</c:f>
              <c:numCache>
                <c:formatCode>General</c:formatCode>
                <c:ptCount val="2"/>
                <c:pt idx="0">
                  <c:v>3.5</c:v>
                </c:pt>
                <c:pt idx="1">
                  <c:v>0.9</c:v>
                </c:pt>
              </c:numCache>
            </c:numRef>
          </c:val>
        </c:ser>
        <c:dLbls>
          <c:showLegendKey val="0"/>
          <c:showVal val="0"/>
          <c:showCatName val="0"/>
          <c:showSerName val="0"/>
          <c:showPercent val="0"/>
          <c:showBubbleSize val="0"/>
        </c:dLbls>
        <c:gapWidth val="246"/>
        <c:overlap val="-28"/>
        <c:axId val="517252422"/>
        <c:axId val="309056650"/>
      </c:barChart>
      <c:catAx>
        <c:axId val="5172524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9056650"/>
        <c:crosses val="autoZero"/>
        <c:auto val="1"/>
        <c:lblAlgn val="ctr"/>
        <c:lblOffset val="100"/>
        <c:noMultiLvlLbl val="0"/>
      </c:catAx>
      <c:valAx>
        <c:axId val="30905665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25242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2023年</c:v>
                </c:pt>
                <c:pt idx="1">
                  <c:v>2022年</c:v>
                </c:pt>
              </c:strCache>
            </c:strRef>
          </c:cat>
          <c:val>
            <c:numRef>
              <c:f>Sheet1!$B$2:$B$3</c:f>
              <c:numCache>
                <c:formatCode>General</c:formatCode>
                <c:ptCount val="2"/>
                <c:pt idx="0">
                  <c:v>3.5</c:v>
                </c:pt>
                <c:pt idx="1">
                  <c:v>0.9</c:v>
                </c:pt>
              </c:numCache>
            </c:numRef>
          </c:val>
        </c:ser>
        <c:dLbls>
          <c:showLegendKey val="0"/>
          <c:showVal val="0"/>
          <c:showCatName val="0"/>
          <c:showSerName val="0"/>
          <c:showPercent val="0"/>
          <c:showBubbleSize val="0"/>
        </c:dLbls>
        <c:gapWidth val="246"/>
        <c:overlap val="-28"/>
        <c:axId val="893430323"/>
        <c:axId val="287159367"/>
      </c:barChart>
      <c:catAx>
        <c:axId val="89343032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7159367"/>
        <c:crosses val="autoZero"/>
        <c:auto val="1"/>
        <c:lblAlgn val="ctr"/>
        <c:lblOffset val="100"/>
        <c:noMultiLvlLbl val="0"/>
      </c:catAx>
      <c:valAx>
        <c:axId val="28715936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343032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 图6</c:v>
                </c:pt>
              </c:strCache>
            </c:strRef>
          </c:tx>
          <c:spPr/>
          <c:explosion val="0"/>
          <c:dPt>
            <c:idx val="0"/>
            <c:bubble3D val="0"/>
            <c:spPr>
              <a:solidFill>
                <a:schemeClr val="accent1"/>
              </a:solidFill>
              <a:ln>
                <a:solidFill>
                  <a:schemeClr val="bg1"/>
                </a:solidFill>
              </a:ln>
              <a:effectLst/>
            </c:spPr>
          </c:dPt>
          <c:dLbls>
            <c:delete val="1"/>
          </c:dLbls>
          <c:cat>
            <c:strRef>
              <c:f>Sheet1!$A$2</c:f>
              <c:strCache>
                <c:ptCount val="1"/>
                <c:pt idx="0">
                  <c:v>灾害防治及应急管理（类）支出100%</c:v>
                </c:pt>
              </c:strCache>
            </c:strRef>
          </c:cat>
          <c:val>
            <c:numRef>
              <c:f>Sheet1!$B$2</c:f>
              <c:numCache>
                <c:formatCode>0%</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Info spid="_x0000_s1027"/>
    <customShpInfo spid="_x0000_s1043"/>
    <customShpInfo spid="_x0000_s1029"/>
    <customShpInfo spid="_x0000_s1030"/>
    <customShpInfo spid="_x0000_s1042"/>
    <customShpInfo spid="_x0000_s1032"/>
    <customShpInfo spid="_x0000_s1033"/>
    <customShpInfo spid="_x0000_s1041"/>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4265</Words>
  <Characters>4653</Characters>
  <Lines>36</Lines>
  <Paragraphs>10</Paragraphs>
  <TotalTime>7</TotalTime>
  <ScaleCrop>false</ScaleCrop>
  <LinksUpToDate>false</LinksUpToDate>
  <CharactersWithSpaces>4799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2023-08-29T03:33:00Z</dcterms:created>
  <dc:creator>Administrator</dc:creator>
  <cp:lastModifiedBy>德云女孩</cp:lastModifiedBy>
  <dcterms:modified xsi:type="dcterms:W3CDTF">2024-10-21T09:24:14Z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WPS 文字</vt:lpwstr>
  </property>
  <property fmtid="{D5CDD505-2E9C-101B-9397-08002B2CF9AE}" pid="4" name="LastSaved">
    <vt:filetime>2023-08-29T00:00:00Z</vt:filetime>
  </property>
  <property fmtid="{D5CDD505-2E9C-101B-9397-08002B2CF9AE}" pid="5" name="KSOProductBuildVer">
    <vt:lpwstr>2052-12.1.0.18608</vt:lpwstr>
  </property>
  <property fmtid="{D5CDD505-2E9C-101B-9397-08002B2CF9AE}" pid="6" name="ICV">
    <vt:lpwstr>A663CA07D976425CA11642E4E23BAE92_12</vt:lpwstr>
  </property>
</Properties>
</file>