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683D3">
      <w:pPr>
        <w:spacing w:before="66" w:line="1251" w:lineRule="exact"/>
        <w:jc w:val="center"/>
        <w:rPr>
          <w:rFonts w:hint="eastAsia" w:ascii="黑体" w:hAnsi="黑体" w:eastAsia="黑体" w:cs="黑体"/>
          <w:b/>
          <w:sz w:val="72"/>
          <w:szCs w:val="72"/>
        </w:rPr>
      </w:pPr>
      <w:r>
        <w:rPr>
          <w:rFonts w:hint="eastAsia" w:ascii="黑体" w:hAnsi="黑体" w:eastAsia="黑体" w:cs="黑体"/>
          <w:b/>
          <w:sz w:val="72"/>
          <w:szCs w:val="72"/>
          <w:lang w:val="en-US" w:eastAsia="zh-CN"/>
        </w:rPr>
        <w:t>玉田县</w:t>
      </w:r>
      <w:r>
        <w:rPr>
          <w:rFonts w:hint="eastAsia" w:ascii="黑体" w:hAnsi="黑体" w:eastAsia="黑体" w:cs="黑体"/>
          <w:b/>
          <w:sz w:val="72"/>
          <w:szCs w:val="72"/>
          <w:lang w:eastAsia="zh-CN"/>
        </w:rPr>
        <w:t>消防救援大队</w:t>
      </w:r>
    </w:p>
    <w:p w14:paraId="1605B2BD">
      <w:pPr>
        <w:spacing w:line="1251" w:lineRule="exact"/>
        <w:jc w:val="center"/>
        <w:rPr>
          <w:rFonts w:ascii="微软雅黑" w:eastAsia="微软雅黑"/>
          <w:b/>
          <w:sz w:val="68"/>
        </w:rPr>
      </w:pPr>
      <w:r>
        <w:rPr>
          <w:rFonts w:hint="eastAsia" w:ascii="黑体" w:hAnsi="黑体" w:eastAsia="黑体" w:cs="黑体"/>
          <w:b/>
          <w:sz w:val="72"/>
          <w:szCs w:val="72"/>
        </w:rPr>
        <w:t>202</w:t>
      </w:r>
      <w:r>
        <w:rPr>
          <w:rFonts w:hint="eastAsia" w:ascii="黑体" w:hAnsi="黑体" w:eastAsia="黑体" w:cs="黑体"/>
          <w:b/>
          <w:sz w:val="72"/>
          <w:szCs w:val="72"/>
          <w:lang w:val="en-US" w:eastAsia="zh-CN"/>
        </w:rPr>
        <w:t>3</w:t>
      </w:r>
      <w:r>
        <w:rPr>
          <w:rFonts w:hint="eastAsia" w:ascii="黑体" w:hAnsi="黑体" w:eastAsia="黑体" w:cs="黑体"/>
          <w:b/>
          <w:sz w:val="72"/>
          <w:szCs w:val="72"/>
        </w:rPr>
        <w:t>年度部门决算</w:t>
      </w:r>
    </w:p>
    <w:p w14:paraId="04D8959C">
      <w:pPr>
        <w:pStyle w:val="4"/>
        <w:rPr>
          <w:rFonts w:ascii="微软雅黑"/>
          <w:b/>
          <w:sz w:val="90"/>
        </w:rPr>
      </w:pPr>
    </w:p>
    <w:p w14:paraId="722AD397">
      <w:pPr>
        <w:pStyle w:val="4"/>
        <w:spacing w:before="17"/>
        <w:rPr>
          <w:rFonts w:ascii="微软雅黑"/>
          <w:b/>
          <w:sz w:val="111"/>
        </w:rPr>
      </w:pPr>
    </w:p>
    <w:p w14:paraId="276DBCA2">
      <w:pPr>
        <w:ind w:left="511"/>
        <w:jc w:val="center"/>
        <w:rPr>
          <w:rFonts w:ascii="微软雅黑" w:eastAsia="微软雅黑"/>
          <w:b/>
          <w:sz w:val="36"/>
        </w:rPr>
      </w:pPr>
      <w:r>
        <w:rPr>
          <w:rFonts w:hint="eastAsia" w:ascii="华文楷体" w:hAnsi="华文楷体" w:eastAsia="华文楷体" w:cstheme="minorBidi"/>
          <w:b/>
          <w:kern w:val="2"/>
          <w:sz w:val="52"/>
          <w:szCs w:val="52"/>
          <w:lang w:val="en-US" w:bidi="ar-SA"/>
        </w:rPr>
        <w:t>二〇二</w:t>
      </w:r>
      <w:r>
        <w:rPr>
          <w:rFonts w:hint="eastAsia" w:ascii="华文楷体" w:hAnsi="华文楷体" w:eastAsia="华文楷体" w:cstheme="minorBidi"/>
          <w:b/>
          <w:kern w:val="2"/>
          <w:sz w:val="52"/>
          <w:szCs w:val="52"/>
          <w:lang w:val="en-US" w:eastAsia="zh-CN" w:bidi="ar-SA"/>
        </w:rPr>
        <w:t>四</w:t>
      </w:r>
      <w:r>
        <w:rPr>
          <w:rFonts w:hint="eastAsia" w:ascii="华文楷体" w:hAnsi="华文楷体" w:eastAsia="华文楷体" w:cstheme="minorBidi"/>
          <w:b/>
          <w:kern w:val="2"/>
          <w:sz w:val="52"/>
          <w:szCs w:val="52"/>
          <w:lang w:val="en-US" w:bidi="ar-SA"/>
        </w:rPr>
        <w:t>年八月</w:t>
      </w:r>
    </w:p>
    <w:p w14:paraId="54D2A6F5">
      <w:pPr>
        <w:jc w:val="center"/>
        <w:rPr>
          <w:rFonts w:ascii="微软雅黑" w:eastAsia="微软雅黑"/>
          <w:sz w:val="36"/>
        </w:rPr>
        <w:sectPr>
          <w:footerReference r:id="rId3" w:type="default"/>
          <w:pgSz w:w="11910" w:h="16840"/>
          <w:pgMar w:top="1580" w:right="0" w:bottom="1080" w:left="0" w:header="720" w:footer="895" w:gutter="0"/>
          <w:pgNumType w:start="1"/>
          <w:cols w:space="720" w:num="1"/>
        </w:sectPr>
      </w:pPr>
    </w:p>
    <w:p w14:paraId="54EB33CD">
      <w:pPr>
        <w:pStyle w:val="2"/>
        <w:tabs>
          <w:tab w:val="left" w:pos="1814"/>
        </w:tabs>
        <w:spacing w:line="808" w:lineRule="exact"/>
        <w:ind w:left="511"/>
      </w:pPr>
      <w:r>
        <w:rPr>
          <w:rFonts w:hint="eastAsia" w:ascii="黑体" w:hAnsi="黑体" w:eastAsia="黑体" w:cs="黑体"/>
          <w:sz w:val="44"/>
          <w:szCs w:val="44"/>
        </w:rPr>
        <w:t>目</w:t>
      </w:r>
      <w:r>
        <w:rPr>
          <w:rFonts w:hint="eastAsia" w:ascii="黑体" w:hAnsi="黑体" w:eastAsia="黑体" w:cs="黑体"/>
          <w:sz w:val="44"/>
          <w:szCs w:val="44"/>
        </w:rPr>
        <w:tab/>
      </w:r>
      <w:r>
        <w:rPr>
          <w:rFonts w:hint="eastAsia" w:ascii="黑体" w:hAnsi="黑体" w:eastAsia="黑体" w:cs="黑体"/>
          <w:sz w:val="44"/>
          <w:szCs w:val="44"/>
        </w:rPr>
        <w:t>录</w:t>
      </w:r>
    </w:p>
    <w:p w14:paraId="1A1E3D91">
      <w:pPr>
        <w:pStyle w:val="4"/>
        <w:spacing w:before="11"/>
        <w:rPr>
          <w:rFonts w:ascii="Microsoft JhengHei"/>
          <w:b/>
          <w:sz w:val="35"/>
        </w:rPr>
      </w:pPr>
    </w:p>
    <w:p w14:paraId="4D2F9518">
      <w:pPr>
        <w:tabs>
          <w:tab w:val="left" w:pos="4319"/>
        </w:tabs>
        <w:ind w:left="2520"/>
        <w:rPr>
          <w:rFonts w:hint="eastAsia"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sz w:val="32"/>
          <w:szCs w:val="32"/>
        </w:rPr>
        <w:tab/>
      </w:r>
      <w:r>
        <w:rPr>
          <w:rFonts w:hint="eastAsia" w:ascii="黑体" w:hAnsi="黑体" w:eastAsia="黑体" w:cs="黑体"/>
          <w:sz w:val="32"/>
          <w:szCs w:val="32"/>
          <w:lang w:eastAsia="zh-CN"/>
        </w:rPr>
        <w:t>玉田县消防救援大队</w:t>
      </w:r>
      <w:r>
        <w:rPr>
          <w:rFonts w:hint="eastAsia" w:ascii="黑体" w:hAnsi="黑体" w:eastAsia="黑体" w:cs="黑体"/>
          <w:sz w:val="32"/>
          <w:szCs w:val="32"/>
        </w:rPr>
        <w:t>概况</w:t>
      </w:r>
    </w:p>
    <w:p w14:paraId="2745F66B">
      <w:pPr>
        <w:pStyle w:val="4"/>
        <w:spacing w:before="26" w:line="268" w:lineRule="auto"/>
        <w:ind w:left="2440" w:right="7543"/>
      </w:pPr>
      <w:r>
        <w:rPr>
          <w:rFonts w:hint="eastAsia" w:ascii="仿宋_GB2312" w:hAnsi="仿宋_GB2312" w:eastAsia="仿宋_GB2312" w:cs="仿宋_GB2312"/>
        </w:rPr>
        <w:t>一、部门职责二、机构设置</w:t>
      </w:r>
    </w:p>
    <w:p w14:paraId="44777DE6">
      <w:pPr>
        <w:pStyle w:val="4"/>
        <w:spacing w:before="26" w:line="268" w:lineRule="auto"/>
        <w:ind w:left="2440" w:right="7543"/>
      </w:pPr>
    </w:p>
    <w:p w14:paraId="5B852EF8">
      <w:pPr>
        <w:numPr>
          <w:ilvl w:val="0"/>
          <w:numId w:val="1"/>
        </w:numPr>
        <w:tabs>
          <w:tab w:val="left" w:pos="4319"/>
        </w:tabs>
        <w:spacing w:line="597" w:lineRule="exact"/>
        <w:ind w:left="2520" w:leftChars="0"/>
        <w:rPr>
          <w:sz w:val="36"/>
        </w:rPr>
      </w:pPr>
      <w:r>
        <w:rPr>
          <w:rFonts w:hint="eastAsia" w:ascii="黑体" w:hAnsi="黑体" w:eastAsia="黑体" w:cs="黑体"/>
          <w:sz w:val="32"/>
          <w:szCs w:val="32"/>
          <w:lang w:val="en-US" w:eastAsia="zh-CN" w:bidi="zh-CN"/>
        </w:rPr>
        <w:t xml:space="preserve"> </w:t>
      </w:r>
      <w:r>
        <w:rPr>
          <w:rFonts w:hint="eastAsia" w:ascii="黑体" w:hAnsi="黑体" w:eastAsia="黑体" w:cs="黑体"/>
          <w:sz w:val="32"/>
          <w:szCs w:val="32"/>
          <w:lang w:eastAsia="zh-CN"/>
        </w:rPr>
        <w:t>玉田县消防救援大队</w:t>
      </w:r>
      <w:r>
        <w:rPr>
          <w:rFonts w:hint="eastAsia"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年度部门决算表</w:t>
      </w:r>
    </w:p>
    <w:p w14:paraId="745CE466">
      <w:pPr>
        <w:pStyle w:val="4"/>
        <w:spacing w:before="26" w:line="268" w:lineRule="auto"/>
        <w:ind w:left="2440" w:right="6264"/>
        <w:rPr>
          <w:rFonts w:hint="eastAsia" w:ascii="仿宋_GB2312" w:hAnsi="仿宋_GB2312" w:eastAsia="仿宋_GB2312" w:cs="仿宋_GB2312"/>
        </w:rPr>
      </w:pPr>
      <w:r>
        <w:rPr>
          <w:rFonts w:hint="eastAsia" w:ascii="仿宋_GB2312" w:hAnsi="仿宋_GB2312" w:eastAsia="仿宋_GB2312" w:cs="仿宋_GB2312"/>
          <w:spacing w:val="-2"/>
        </w:rPr>
        <w:t>一、收入支出决算总表</w:t>
      </w:r>
      <w:r>
        <w:rPr>
          <w:rFonts w:hint="eastAsia" w:ascii="仿宋_GB2312" w:hAnsi="仿宋_GB2312" w:eastAsia="仿宋_GB2312" w:cs="仿宋_GB2312"/>
        </w:rPr>
        <w:t>二、收入决算表</w:t>
      </w:r>
    </w:p>
    <w:p w14:paraId="451E41AB">
      <w:pPr>
        <w:pStyle w:val="4"/>
        <w:spacing w:before="1"/>
        <w:ind w:left="2440"/>
        <w:rPr>
          <w:rFonts w:hint="eastAsia" w:ascii="仿宋_GB2312" w:hAnsi="仿宋_GB2312" w:eastAsia="仿宋_GB2312" w:cs="仿宋_GB2312"/>
        </w:rPr>
      </w:pPr>
      <w:r>
        <w:rPr>
          <w:rFonts w:hint="eastAsia" w:ascii="仿宋_GB2312" w:hAnsi="仿宋_GB2312" w:eastAsia="仿宋_GB2312" w:cs="仿宋_GB2312"/>
          <w:w w:val="95"/>
        </w:rPr>
        <w:t>三、支出决算表</w:t>
      </w:r>
    </w:p>
    <w:p w14:paraId="0E39C538">
      <w:pPr>
        <w:pStyle w:val="4"/>
        <w:spacing w:before="67"/>
        <w:ind w:left="2440"/>
        <w:rPr>
          <w:rFonts w:hint="eastAsia" w:ascii="仿宋_GB2312" w:hAnsi="仿宋_GB2312" w:eastAsia="仿宋_GB2312" w:cs="仿宋_GB2312"/>
        </w:rPr>
      </w:pPr>
      <w:r>
        <w:rPr>
          <w:rFonts w:hint="eastAsia" w:ascii="仿宋_GB2312" w:hAnsi="仿宋_GB2312" w:eastAsia="仿宋_GB2312" w:cs="仿宋_GB2312"/>
        </w:rPr>
        <w:t>四、财政拨款收入支出决算总表</w:t>
      </w:r>
    </w:p>
    <w:p w14:paraId="6D228288">
      <w:pPr>
        <w:pStyle w:val="4"/>
        <w:spacing w:before="67"/>
        <w:ind w:left="2440"/>
        <w:rPr>
          <w:rFonts w:hint="eastAsia" w:ascii="仿宋_GB2312" w:hAnsi="仿宋_GB2312" w:eastAsia="仿宋_GB2312" w:cs="仿宋_GB2312"/>
        </w:rPr>
      </w:pPr>
      <w:r>
        <w:rPr>
          <w:rFonts w:hint="eastAsia" w:ascii="仿宋_GB2312" w:hAnsi="仿宋_GB2312" w:eastAsia="仿宋_GB2312" w:cs="仿宋_GB2312"/>
        </w:rPr>
        <w:t>五、一般公共预算财政拨款支出决算表</w:t>
      </w:r>
    </w:p>
    <w:p w14:paraId="0C449489">
      <w:pPr>
        <w:pStyle w:val="4"/>
        <w:spacing w:before="67" w:line="268" w:lineRule="auto"/>
        <w:ind w:left="2440" w:right="2745"/>
        <w:rPr>
          <w:rFonts w:hint="eastAsia" w:ascii="仿宋_GB2312" w:hAnsi="仿宋_GB2312" w:eastAsia="仿宋_GB2312" w:cs="仿宋_GB2312"/>
        </w:rPr>
      </w:pPr>
      <w:r>
        <w:rPr>
          <w:rFonts w:hint="eastAsia" w:ascii="仿宋_GB2312" w:hAnsi="仿宋_GB2312" w:eastAsia="仿宋_GB2312" w:cs="仿宋_GB2312"/>
          <w:spacing w:val="-1"/>
        </w:rPr>
        <w:t>六、一般公共预算财政拨款基本支出决算明细表</w:t>
      </w:r>
      <w:r>
        <w:rPr>
          <w:rFonts w:hint="eastAsia" w:ascii="仿宋_GB2312" w:hAnsi="仿宋_GB2312" w:eastAsia="仿宋_GB2312" w:cs="仿宋_GB2312"/>
        </w:rPr>
        <w:t>七、政府性基金预算财政拨款收入支出决算表 八、国有资本经营预算财政拨款支出决算表</w:t>
      </w:r>
    </w:p>
    <w:p w14:paraId="3DFB8550">
      <w:pPr>
        <w:pStyle w:val="4"/>
        <w:ind w:left="2440"/>
      </w:pPr>
      <w:r>
        <w:rPr>
          <w:rFonts w:hint="eastAsia" w:ascii="仿宋_GB2312" w:hAnsi="仿宋_GB2312" w:eastAsia="仿宋_GB2312" w:cs="仿宋_GB2312"/>
        </w:rPr>
        <w:t>九、财政拨款“三公”经费支出决算表</w:t>
      </w:r>
    </w:p>
    <w:p w14:paraId="1267C0D8">
      <w:pPr>
        <w:pStyle w:val="4"/>
        <w:ind w:left="2440"/>
      </w:pPr>
    </w:p>
    <w:p w14:paraId="75A09720">
      <w:pPr>
        <w:numPr>
          <w:ilvl w:val="0"/>
          <w:numId w:val="2"/>
        </w:numPr>
        <w:spacing w:before="38"/>
        <w:ind w:left="2520" w:leftChars="0" w:right="1284"/>
        <w:rPr>
          <w:sz w:val="36"/>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玉田县消防救援大队</w:t>
      </w:r>
      <w:r>
        <w:rPr>
          <w:rFonts w:hint="eastAsia"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 xml:space="preserve"> 年度部门决算情况说明</w:t>
      </w:r>
    </w:p>
    <w:p w14:paraId="4F21721F">
      <w:pPr>
        <w:pStyle w:val="4"/>
        <w:spacing w:before="24" w:line="268" w:lineRule="auto"/>
        <w:ind w:left="2440" w:right="4985"/>
        <w:rPr>
          <w:rFonts w:hint="eastAsia" w:ascii="仿宋_GB2312" w:hAnsi="仿宋_GB2312" w:eastAsia="仿宋_GB2312" w:cs="仿宋_GB2312"/>
        </w:rPr>
      </w:pPr>
      <w:r>
        <w:rPr>
          <w:rFonts w:hint="eastAsia" w:ascii="仿宋_GB2312" w:hAnsi="仿宋_GB2312" w:eastAsia="仿宋_GB2312" w:cs="仿宋_GB2312"/>
          <w:spacing w:val="-1"/>
        </w:rPr>
        <w:t>一、收入支出决算总体情况说明</w:t>
      </w:r>
      <w:r>
        <w:rPr>
          <w:rFonts w:hint="eastAsia" w:ascii="仿宋_GB2312" w:hAnsi="仿宋_GB2312" w:eastAsia="仿宋_GB2312" w:cs="仿宋_GB2312"/>
        </w:rPr>
        <w:t>二、收入决算情况说明</w:t>
      </w:r>
    </w:p>
    <w:p w14:paraId="2E6ACA1C">
      <w:pPr>
        <w:pStyle w:val="4"/>
        <w:ind w:left="2440"/>
      </w:pPr>
      <w:r>
        <w:rPr>
          <w:rFonts w:hint="eastAsia" w:ascii="仿宋_GB2312" w:hAnsi="仿宋_GB2312" w:eastAsia="仿宋_GB2312" w:cs="仿宋_GB2312"/>
          <w:w w:val="95"/>
        </w:rPr>
        <w:t>三、支出决算情况说明</w:t>
      </w:r>
    </w:p>
    <w:p w14:paraId="3C9F7F5A">
      <w:pPr>
        <w:sectPr>
          <w:pgSz w:w="11910" w:h="16840"/>
          <w:pgMar w:top="1520" w:right="0" w:bottom="1160" w:left="0" w:header="0" w:footer="895" w:gutter="0"/>
          <w:cols w:space="720" w:num="1"/>
        </w:sectPr>
      </w:pPr>
    </w:p>
    <w:p w14:paraId="5BF340E7">
      <w:pPr>
        <w:pStyle w:val="4"/>
        <w:spacing w:line="529" w:lineRule="exact"/>
        <w:ind w:left="2440"/>
        <w:rPr>
          <w:rFonts w:hint="eastAsia" w:ascii="仿宋_GB2312" w:hAnsi="仿宋_GB2312" w:eastAsia="仿宋_GB2312" w:cs="仿宋_GB2312"/>
        </w:rPr>
      </w:pPr>
      <w:r>
        <w:rPr>
          <w:rFonts w:hint="eastAsia" w:ascii="仿宋_GB2312" w:hAnsi="仿宋_GB2312" w:eastAsia="仿宋_GB2312" w:cs="仿宋_GB2312"/>
        </w:rPr>
        <w:t>四、财政拨款收入支出决算总体情况说明</w:t>
      </w:r>
    </w:p>
    <w:p w14:paraId="61AAE071">
      <w:pPr>
        <w:pStyle w:val="4"/>
        <w:spacing w:before="67"/>
        <w:ind w:left="2440"/>
        <w:rPr>
          <w:rFonts w:hint="eastAsia" w:ascii="仿宋_GB2312" w:hAnsi="仿宋_GB2312" w:eastAsia="仿宋_GB2312" w:cs="仿宋_GB2312"/>
        </w:rPr>
      </w:pPr>
      <w:r>
        <w:rPr>
          <w:rFonts w:hint="eastAsia" w:ascii="仿宋_GB2312" w:hAnsi="仿宋_GB2312" w:eastAsia="仿宋_GB2312" w:cs="仿宋_GB2312"/>
        </w:rPr>
        <w:t>五、一般公共预算财政拨款支出决算情况说明</w:t>
      </w:r>
    </w:p>
    <w:p w14:paraId="261C95F7">
      <w:pPr>
        <w:pStyle w:val="4"/>
        <w:spacing w:before="67" w:line="268" w:lineRule="auto"/>
        <w:ind w:left="2440" w:right="2424"/>
        <w:rPr>
          <w:rFonts w:hint="eastAsia" w:ascii="仿宋_GB2312" w:hAnsi="仿宋_GB2312" w:eastAsia="仿宋_GB2312" w:cs="仿宋_GB2312"/>
        </w:rPr>
      </w:pPr>
      <w:r>
        <w:rPr>
          <w:rFonts w:hint="eastAsia" w:ascii="仿宋_GB2312" w:hAnsi="仿宋_GB2312" w:eastAsia="仿宋_GB2312" w:cs="仿宋_GB2312"/>
        </w:rPr>
        <w:t>六、一般公共预算财政拨款基本支出决算情况说明七、财政拨款“三公”经费支出决算情况说明</w:t>
      </w:r>
    </w:p>
    <w:p w14:paraId="49B37140">
      <w:pPr>
        <w:pStyle w:val="4"/>
        <w:spacing w:line="268" w:lineRule="auto"/>
        <w:ind w:left="2440" w:right="5625"/>
        <w:rPr>
          <w:rFonts w:hint="eastAsia" w:ascii="仿宋_GB2312" w:hAnsi="仿宋_GB2312" w:eastAsia="仿宋_GB2312" w:cs="仿宋_GB2312"/>
        </w:rPr>
      </w:pPr>
      <w:r>
        <w:rPr>
          <w:rFonts w:hint="eastAsia" w:ascii="仿宋_GB2312" w:hAnsi="仿宋_GB2312" w:eastAsia="仿宋_GB2312" w:cs="仿宋_GB2312"/>
        </w:rPr>
        <w:t>八、机关运行经费支出说明九、政府采购支出说明</w:t>
      </w:r>
    </w:p>
    <w:p w14:paraId="3419D027">
      <w:pPr>
        <w:spacing w:line="261" w:lineRule="auto"/>
        <w:ind w:left="2440" w:right="5623"/>
        <w:rPr>
          <w:sz w:val="32"/>
        </w:rPr>
      </w:pPr>
      <w:r>
        <w:rPr>
          <w:rFonts w:hint="eastAsia" w:ascii="仿宋_GB2312" w:hAnsi="仿宋_GB2312" w:eastAsia="仿宋_GB2312" w:cs="仿宋_GB2312"/>
          <w:sz w:val="32"/>
        </w:rPr>
        <w:t>十、国有资产占用情况说明十一、预算绩效情况说明</w:t>
      </w:r>
    </w:p>
    <w:p w14:paraId="7AAACD90">
      <w:pPr>
        <w:spacing w:line="261" w:lineRule="auto"/>
        <w:ind w:left="2440" w:right="5623"/>
        <w:rPr>
          <w:sz w:val="32"/>
        </w:rPr>
      </w:pPr>
    </w:p>
    <w:p w14:paraId="177CDAB3">
      <w:pPr>
        <w:spacing w:line="261" w:lineRule="auto"/>
        <w:ind w:left="2440" w:right="5623"/>
        <w:rPr>
          <w:sz w:val="36"/>
        </w:rPr>
      </w:pPr>
      <w:r>
        <w:rPr>
          <w:rFonts w:hint="eastAsia" w:ascii="黑体" w:hAnsi="黑体" w:eastAsia="黑体" w:cs="黑体"/>
          <w:sz w:val="32"/>
          <w:szCs w:val="32"/>
        </w:rPr>
        <w:t>第四部分 名词解释</w:t>
      </w:r>
    </w:p>
    <w:p w14:paraId="24E4C836">
      <w:pPr>
        <w:spacing w:line="261" w:lineRule="auto"/>
        <w:rPr>
          <w:sz w:val="36"/>
        </w:rPr>
        <w:sectPr>
          <w:pgSz w:w="11910" w:h="16840"/>
          <w:pgMar w:top="1480" w:right="0" w:bottom="1160" w:left="0" w:header="0" w:footer="895" w:gutter="0"/>
          <w:cols w:space="720" w:num="1"/>
        </w:sectPr>
      </w:pPr>
    </w:p>
    <w:p w14:paraId="6BE61A96">
      <w:pPr>
        <w:pStyle w:val="4"/>
        <w:rPr>
          <w:rFonts w:ascii="Times New Roman"/>
          <w:sz w:val="20"/>
        </w:rPr>
      </w:pPr>
      <w:r>
        <mc:AlternateContent>
          <mc:Choice Requires="wps">
            <w:drawing>
              <wp:anchor distT="0" distB="0" distL="114300" distR="114300" simplePos="0" relativeHeight="251663360" behindDoc="0" locked="0" layoutInCell="1" allowOverlap="1">
                <wp:simplePos x="0" y="0"/>
                <wp:positionH relativeFrom="page">
                  <wp:posOffset>0</wp:posOffset>
                </wp:positionH>
                <wp:positionV relativeFrom="page">
                  <wp:posOffset>3990975</wp:posOffset>
                </wp:positionV>
                <wp:extent cx="7559675" cy="25400"/>
                <wp:effectExtent l="0" t="0" r="3175" b="3175"/>
                <wp:wrapNone/>
                <wp:docPr id="23" name="矩形 23"/>
                <wp:cNvGraphicFramePr/>
                <a:graphic xmlns:a="http://schemas.openxmlformats.org/drawingml/2006/main">
                  <a:graphicData uri="http://schemas.microsoft.com/office/word/2010/wordprocessingShape">
                    <wps:wsp>
                      <wps:cNvSpPr/>
                      <wps:spPr>
                        <a:xfrm>
                          <a:off x="0" y="0"/>
                          <a:ext cx="7559675" cy="25400"/>
                        </a:xfrm>
                        <a:prstGeom prst="rect">
                          <a:avLst/>
                        </a:prstGeom>
                        <a:solidFill>
                          <a:srgbClr val="385D89"/>
                        </a:solidFill>
                        <a:ln>
                          <a:noFill/>
                        </a:ln>
                      </wps:spPr>
                      <wps:bodyPr upright="1"/>
                    </wps:wsp>
                  </a:graphicData>
                </a:graphic>
              </wp:anchor>
            </w:drawing>
          </mc:Choice>
          <mc:Fallback>
            <w:pict>
              <v:rect id="_x0000_s1026" o:spid="_x0000_s1026" o:spt="1" style="position:absolute;left:0pt;margin-left:0pt;margin-top:314.25pt;height:2pt;width:595.25pt;mso-position-horizontal-relative:page;mso-position-vertical-relative:page;z-index:251663360;mso-width-relative:page;mso-height-relative:page;" fillcolor="#385D89" filled="t" stroked="f" coordsize="21600,21600" o:gfxdata="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DM/Xs1wAAAAkBAAAPAAAAAAAAAAEAIAAAACIAAABkcnMvZG93bnJldi54bWxQSwECFAAUAAAA&#10;CACHTuJAAjrLh7YBAABgAwAADgAAAAAAAAABACAAAAAmAQAAZHJzL2Uyb0RvYy54bWxQSwUGAAAA&#10;AAYABgBZAQAATgUAAAAA&#10;">
                <v:fill on="t" focussize="0,0"/>
                <v:stroke on="f"/>
                <v:imagedata o:title=""/>
                <o:lock v:ext="edit" aspectratio="f"/>
              </v:rect>
            </w:pict>
          </mc:Fallback>
        </mc:AlternateContent>
      </w:r>
      <w:r>
        <mc:AlternateContent>
          <mc:Choice Requires="wps">
            <w:drawing>
              <wp:anchor distT="0" distB="0" distL="114300" distR="114300" simplePos="0" relativeHeight="251664384" behindDoc="0" locked="0" layoutInCell="1" allowOverlap="1">
                <wp:simplePos x="0" y="0"/>
                <wp:positionH relativeFrom="page">
                  <wp:posOffset>0</wp:posOffset>
                </wp:positionH>
                <wp:positionV relativeFrom="page">
                  <wp:posOffset>5920105</wp:posOffset>
                </wp:positionV>
                <wp:extent cx="7559675" cy="25400"/>
                <wp:effectExtent l="0" t="0" r="3175" b="3175"/>
                <wp:wrapNone/>
                <wp:docPr id="24" name="矩形 24"/>
                <wp:cNvGraphicFramePr/>
                <a:graphic xmlns:a="http://schemas.openxmlformats.org/drawingml/2006/main">
                  <a:graphicData uri="http://schemas.microsoft.com/office/word/2010/wordprocessingShape">
                    <wps:wsp>
                      <wps:cNvSpPr/>
                      <wps:spPr>
                        <a:xfrm>
                          <a:off x="0" y="0"/>
                          <a:ext cx="7559675" cy="25400"/>
                        </a:xfrm>
                        <a:prstGeom prst="rect">
                          <a:avLst/>
                        </a:prstGeom>
                        <a:solidFill>
                          <a:srgbClr val="385D89"/>
                        </a:solidFill>
                        <a:ln>
                          <a:noFill/>
                        </a:ln>
                      </wps:spPr>
                      <wps:bodyPr upright="1"/>
                    </wps:wsp>
                  </a:graphicData>
                </a:graphic>
              </wp:anchor>
            </w:drawing>
          </mc:Choice>
          <mc:Fallback>
            <w:pict>
              <v:rect id="_x0000_s1026" o:spid="_x0000_s1026" o:spt="1" style="position:absolute;left:0pt;margin-left:0pt;margin-top:466.15pt;height:2pt;width:595.25pt;mso-position-horizontal-relative:page;mso-position-vertical-relative:page;z-index:251664384;mso-width-relative:page;mso-height-relative:page;" fillcolor="#385D89" filled="t" stroked="f" coordsize="21600,21600" o:gfxdata="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xfI6L1wAAAAkBAAAPAAAAAAAAAAEAIAAAACIAAABkcnMvZG93bnJldi54bWxQSwECFAAUAAAA&#10;CACHTuJAUNVSAbYBAABgAwAADgAAAAAAAAABACAAAAAmAQAAZHJzL2Uyb0RvYy54bWxQSwUGAAAA&#10;AAYABgBZAQAATgUAAAAA&#10;">
                <v:fill on="t" focussize="0,0"/>
                <v:stroke on="f"/>
                <v:imagedata o:title=""/>
                <o:lock v:ext="edit" aspectratio="f"/>
              </v:rect>
            </w:pict>
          </mc:Fallback>
        </mc:AlternateContent>
      </w:r>
    </w:p>
    <w:p w14:paraId="172CC15B">
      <w:pPr>
        <w:pStyle w:val="4"/>
        <w:rPr>
          <w:rFonts w:ascii="Times New Roman"/>
          <w:sz w:val="20"/>
        </w:rPr>
      </w:pPr>
    </w:p>
    <w:p w14:paraId="5BEB577A">
      <w:pPr>
        <w:pStyle w:val="4"/>
        <w:rPr>
          <w:rFonts w:ascii="Times New Roman"/>
          <w:sz w:val="20"/>
        </w:rPr>
      </w:pPr>
    </w:p>
    <w:p w14:paraId="0EFF4C94">
      <w:pPr>
        <w:pStyle w:val="4"/>
        <w:rPr>
          <w:rFonts w:ascii="Times New Roman"/>
          <w:sz w:val="20"/>
        </w:rPr>
      </w:pPr>
    </w:p>
    <w:p w14:paraId="13D87235">
      <w:pPr>
        <w:pStyle w:val="4"/>
        <w:rPr>
          <w:rFonts w:ascii="Times New Roman"/>
          <w:sz w:val="20"/>
        </w:rPr>
      </w:pPr>
    </w:p>
    <w:p w14:paraId="1105817A">
      <w:pPr>
        <w:pStyle w:val="4"/>
        <w:rPr>
          <w:rFonts w:ascii="Times New Roman"/>
          <w:sz w:val="20"/>
        </w:rPr>
      </w:pPr>
    </w:p>
    <w:p w14:paraId="3E267F8F">
      <w:pPr>
        <w:pStyle w:val="4"/>
        <w:rPr>
          <w:rFonts w:ascii="Times New Roman"/>
          <w:sz w:val="20"/>
        </w:rPr>
      </w:pPr>
    </w:p>
    <w:p w14:paraId="12F9BAC2">
      <w:pPr>
        <w:pStyle w:val="4"/>
        <w:rPr>
          <w:rFonts w:ascii="Times New Roman"/>
          <w:sz w:val="20"/>
        </w:rPr>
      </w:pPr>
    </w:p>
    <w:p w14:paraId="61ECD1C8">
      <w:pPr>
        <w:pStyle w:val="4"/>
        <w:rPr>
          <w:rFonts w:ascii="Times New Roman"/>
          <w:sz w:val="20"/>
        </w:rPr>
      </w:pPr>
    </w:p>
    <w:p w14:paraId="774AD1DA">
      <w:pPr>
        <w:pStyle w:val="4"/>
        <w:rPr>
          <w:rFonts w:ascii="Times New Roman"/>
          <w:sz w:val="20"/>
        </w:rPr>
      </w:pPr>
    </w:p>
    <w:p w14:paraId="7441FB47">
      <w:pPr>
        <w:pStyle w:val="4"/>
        <w:rPr>
          <w:rFonts w:ascii="Times New Roman"/>
          <w:sz w:val="20"/>
        </w:rPr>
      </w:pPr>
    </w:p>
    <w:p w14:paraId="2810CCBC">
      <w:pPr>
        <w:pStyle w:val="4"/>
        <w:rPr>
          <w:rFonts w:ascii="Times New Roman"/>
          <w:sz w:val="20"/>
        </w:rPr>
      </w:pPr>
    </w:p>
    <w:p w14:paraId="5D1AFDB4">
      <w:pPr>
        <w:pStyle w:val="4"/>
        <w:rPr>
          <w:rFonts w:ascii="Times New Roman"/>
          <w:sz w:val="20"/>
        </w:rPr>
      </w:pPr>
    </w:p>
    <w:p w14:paraId="7979682D">
      <w:pPr>
        <w:pStyle w:val="4"/>
        <w:rPr>
          <w:rFonts w:ascii="Times New Roman"/>
          <w:sz w:val="20"/>
        </w:rPr>
      </w:pPr>
    </w:p>
    <w:p w14:paraId="7F199774">
      <w:pPr>
        <w:pStyle w:val="4"/>
        <w:rPr>
          <w:rFonts w:ascii="Times New Roman"/>
          <w:sz w:val="20"/>
        </w:rPr>
      </w:pPr>
    </w:p>
    <w:p w14:paraId="25A7EA3F">
      <w:pPr>
        <w:pStyle w:val="4"/>
        <w:rPr>
          <w:rFonts w:ascii="Times New Roman"/>
          <w:sz w:val="20"/>
        </w:rPr>
      </w:pPr>
    </w:p>
    <w:p w14:paraId="5A4D36AB">
      <w:pPr>
        <w:pStyle w:val="4"/>
        <w:rPr>
          <w:rFonts w:ascii="Times New Roman"/>
          <w:sz w:val="20"/>
        </w:rPr>
      </w:pPr>
    </w:p>
    <w:p w14:paraId="0727D050">
      <w:pPr>
        <w:pStyle w:val="4"/>
        <w:rPr>
          <w:rFonts w:ascii="Times New Roman"/>
          <w:sz w:val="20"/>
        </w:rPr>
      </w:pPr>
    </w:p>
    <w:p w14:paraId="4E4B7F95">
      <w:pPr>
        <w:pStyle w:val="4"/>
        <w:rPr>
          <w:rFonts w:ascii="Times New Roman"/>
          <w:sz w:val="20"/>
        </w:rPr>
      </w:pPr>
    </w:p>
    <w:p w14:paraId="1DEFDEDD">
      <w:pPr>
        <w:pStyle w:val="4"/>
        <w:rPr>
          <w:rFonts w:ascii="Times New Roman"/>
          <w:sz w:val="20"/>
        </w:rPr>
      </w:pPr>
    </w:p>
    <w:p w14:paraId="77DBEB52">
      <w:pPr>
        <w:pStyle w:val="4"/>
        <w:spacing w:after="1"/>
        <w:rPr>
          <w:rFonts w:ascii="Times New Roman"/>
          <w:sz w:val="11"/>
        </w:rPr>
      </w:pPr>
    </w:p>
    <w:p w14:paraId="4020E14E">
      <w:pPr>
        <w:pStyle w:val="4"/>
        <w:ind w:right="-58"/>
        <w:rPr>
          <w:rFonts w:ascii="Times New Roman"/>
          <w:sz w:val="20"/>
        </w:rPr>
      </w:pPr>
      <w:r>
        <w:rPr>
          <w:rFonts w:ascii="Times New Roman"/>
          <w:sz w:val="20"/>
        </w:rPr>
        <mc:AlternateContent>
          <mc:Choice Requires="wps">
            <w:drawing>
              <wp:inline distT="0" distB="0" distL="114300" distR="114300">
                <wp:extent cx="7560310" cy="1903730"/>
                <wp:effectExtent l="0" t="0" r="2540" b="1270"/>
                <wp:docPr id="25" name="文本框 25"/>
                <wp:cNvGraphicFramePr/>
                <a:graphic xmlns:a="http://schemas.openxmlformats.org/drawingml/2006/main">
                  <a:graphicData uri="http://schemas.microsoft.com/office/word/2010/wordprocessingShape">
                    <wps:wsp>
                      <wps:cNvSpPr txBox="1"/>
                      <wps:spPr>
                        <a:xfrm>
                          <a:off x="0" y="0"/>
                          <a:ext cx="7560310" cy="1903730"/>
                        </a:xfrm>
                        <a:prstGeom prst="rect">
                          <a:avLst/>
                        </a:prstGeom>
                        <a:solidFill>
                          <a:srgbClr val="94B3D6"/>
                        </a:solidFill>
                        <a:ln>
                          <a:noFill/>
                        </a:ln>
                      </wps:spPr>
                      <wps:txbx>
                        <w:txbxContent>
                          <w:p w14:paraId="078D3C09">
                            <w:pPr>
                              <w:numPr>
                                <w:ilvl w:val="0"/>
                                <w:numId w:val="3"/>
                              </w:numPr>
                              <w:tabs>
                                <w:tab w:val="left" w:pos="2383"/>
                              </w:tabs>
                              <w:spacing w:before="362"/>
                              <w:ind w:left="36"/>
                              <w:jc w:val="center"/>
                              <w:rPr>
                                <w:rFonts w:hint="eastAsia" w:ascii="Microsoft JhengHei" w:hAnsi="Microsoft JhengHei" w:eastAsia="Microsoft JhengHei" w:cs="Microsoft JhengHei"/>
                                <w:b/>
                                <w:sz w:val="52"/>
                              </w:rPr>
                            </w:pPr>
                            <w:r>
                              <w:rPr>
                                <w:rFonts w:hint="eastAsia" w:ascii="Microsoft JhengHei" w:hAnsi="Microsoft JhengHei" w:eastAsia="Microsoft JhengHei" w:cs="Microsoft JhengHei"/>
                                <w:b/>
                                <w:sz w:val="52"/>
                                <w:lang w:eastAsia="zh-CN"/>
                              </w:rPr>
                              <w:t>玉田县消防救援大队</w:t>
                            </w:r>
                          </w:p>
                          <w:p w14:paraId="2C0CE4C0">
                            <w:pPr>
                              <w:numPr>
                                <w:ilvl w:val="0"/>
                                <w:numId w:val="0"/>
                              </w:numPr>
                              <w:tabs>
                                <w:tab w:val="left" w:pos="2383"/>
                              </w:tabs>
                              <w:spacing w:before="362"/>
                              <w:ind w:firstLine="2601" w:firstLineChars="500"/>
                              <w:jc w:val="both"/>
                              <w:rPr>
                                <w:rFonts w:hint="eastAsia" w:ascii="Microsoft JhengHei" w:hAnsi="Microsoft JhengHei" w:eastAsia="Microsoft JhengHei" w:cs="Microsoft JhengHei"/>
                                <w:b/>
                                <w:sz w:val="52"/>
                              </w:rPr>
                            </w:pPr>
                            <w:r>
                              <w:rPr>
                                <w:rFonts w:hint="eastAsia" w:ascii="Microsoft JhengHei" w:hAnsi="Microsoft JhengHei" w:eastAsia="Microsoft JhengHei" w:cs="Microsoft JhengHei"/>
                                <w:b/>
                                <w:sz w:val="52"/>
                              </w:rPr>
                              <w:t>概况</w:t>
                            </w:r>
                          </w:p>
                        </w:txbxContent>
                      </wps:txbx>
                      <wps:bodyPr lIns="0" tIns="0" rIns="0" bIns="0" upright="1"/>
                    </wps:wsp>
                  </a:graphicData>
                </a:graphic>
              </wp:inline>
            </w:drawing>
          </mc:Choice>
          <mc:Fallback>
            <w:pict>
              <v:shape id="_x0000_s1026" o:spid="_x0000_s1026" o:spt="202" type="#_x0000_t202" style="height:149.9pt;width:595.3pt;" fillcolor="#94B3D6" filled="t" stroked="f" coordsize="21600,21600" o:gfxdata="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GE0px1QAAAAYBAAAPAAAAAAAAAAEAIAAA&#10;ACIAAABkcnMvZG93bnJldi54bWxQSwECFAAUAAAACACHTuJA5NJDAtYBAACeAwAADgAAAAAAAAAB&#10;ACAAAAAkAQAAZHJzL2Uyb0RvYy54bWxQSwUGAAAAAAYABgBZAQAAbAUAAAAA&#10;">
                <v:fill on="t" focussize="0,0"/>
                <v:stroke on="f"/>
                <v:imagedata o:title=""/>
                <o:lock v:ext="edit" aspectratio="f"/>
                <v:textbox inset="0mm,0mm,0mm,0mm">
                  <w:txbxContent>
                    <w:p w14:paraId="078D3C09">
                      <w:pPr>
                        <w:numPr>
                          <w:ilvl w:val="0"/>
                          <w:numId w:val="3"/>
                        </w:numPr>
                        <w:tabs>
                          <w:tab w:val="left" w:pos="2383"/>
                        </w:tabs>
                        <w:spacing w:before="362"/>
                        <w:ind w:left="36"/>
                        <w:jc w:val="center"/>
                        <w:rPr>
                          <w:rFonts w:hint="eastAsia" w:ascii="Microsoft JhengHei" w:hAnsi="Microsoft JhengHei" w:eastAsia="Microsoft JhengHei" w:cs="Microsoft JhengHei"/>
                          <w:b/>
                          <w:sz w:val="52"/>
                        </w:rPr>
                      </w:pPr>
                      <w:r>
                        <w:rPr>
                          <w:rFonts w:hint="eastAsia" w:ascii="Microsoft JhengHei" w:hAnsi="Microsoft JhengHei" w:eastAsia="Microsoft JhengHei" w:cs="Microsoft JhengHei"/>
                          <w:b/>
                          <w:sz w:val="52"/>
                          <w:lang w:eastAsia="zh-CN"/>
                        </w:rPr>
                        <w:t>玉田县消防救援大队</w:t>
                      </w:r>
                    </w:p>
                    <w:p w14:paraId="2C0CE4C0">
                      <w:pPr>
                        <w:numPr>
                          <w:ilvl w:val="0"/>
                          <w:numId w:val="0"/>
                        </w:numPr>
                        <w:tabs>
                          <w:tab w:val="left" w:pos="2383"/>
                        </w:tabs>
                        <w:spacing w:before="362"/>
                        <w:ind w:firstLine="2601" w:firstLineChars="500"/>
                        <w:jc w:val="both"/>
                        <w:rPr>
                          <w:rFonts w:hint="eastAsia" w:ascii="Microsoft JhengHei" w:hAnsi="Microsoft JhengHei" w:eastAsia="Microsoft JhengHei" w:cs="Microsoft JhengHei"/>
                          <w:b/>
                          <w:sz w:val="52"/>
                        </w:rPr>
                      </w:pPr>
                      <w:r>
                        <w:rPr>
                          <w:rFonts w:hint="eastAsia" w:ascii="Microsoft JhengHei" w:hAnsi="Microsoft JhengHei" w:eastAsia="Microsoft JhengHei" w:cs="Microsoft JhengHei"/>
                          <w:b/>
                          <w:sz w:val="52"/>
                        </w:rPr>
                        <w:t>概况</w:t>
                      </w:r>
                    </w:p>
                  </w:txbxContent>
                </v:textbox>
                <w10:wrap type="none"/>
                <w10:anchorlock/>
              </v:shape>
            </w:pict>
          </mc:Fallback>
        </mc:AlternateContent>
      </w:r>
    </w:p>
    <w:p w14:paraId="0EDD29C6">
      <w:pPr>
        <w:rPr>
          <w:rFonts w:ascii="Times New Roman"/>
          <w:sz w:val="20"/>
        </w:rPr>
        <w:sectPr>
          <w:pgSz w:w="11910" w:h="16840"/>
          <w:pgMar w:top="1580" w:right="0" w:bottom="1160" w:left="0" w:header="0" w:footer="895" w:gutter="0"/>
          <w:cols w:space="720" w:num="1"/>
        </w:sectPr>
      </w:pPr>
    </w:p>
    <w:p w14:paraId="43BDD7CB">
      <w:pPr>
        <w:pStyle w:val="4"/>
        <w:spacing w:line="532" w:lineRule="exact"/>
        <w:ind w:left="2440"/>
        <w:rPr>
          <w:rFonts w:hint="eastAsia" w:ascii="黑体" w:hAnsi="黑体" w:eastAsia="黑体" w:cs="黑体"/>
        </w:rPr>
      </w:pPr>
      <w:r>
        <w:rPr>
          <w:rFonts w:hint="eastAsia" w:ascii="黑体" w:hAnsi="黑体" w:eastAsia="黑体" w:cs="黑体"/>
        </w:rPr>
        <w:t>一、部门职责</w:t>
      </w:r>
    </w:p>
    <w:p w14:paraId="04A73D2B">
      <w:pPr>
        <w:pStyle w:val="4"/>
        <w:spacing w:line="247" w:lineRule="auto"/>
        <w:ind w:left="1800" w:right="1286" w:firstLine="640"/>
        <w:jc w:val="both"/>
        <w:rPr>
          <w:rFonts w:hint="eastAsia" w:ascii="仿宋_GB2312" w:hAnsi="仿宋_GB2312" w:eastAsia="仿宋_GB2312" w:cs="仿宋_GB2312"/>
          <w:spacing w:val="-8"/>
          <w:w w:val="95"/>
        </w:rPr>
      </w:pPr>
      <w:r>
        <w:rPr>
          <w:rFonts w:hint="eastAsia" w:ascii="仿宋_GB2312" w:hAnsi="仿宋_GB2312" w:eastAsia="仿宋_GB2312" w:cs="仿宋_GB2312"/>
          <w:spacing w:val="-8"/>
          <w:w w:val="95"/>
        </w:rPr>
        <w:t>1．主要职能。</w:t>
      </w:r>
    </w:p>
    <w:p w14:paraId="102453DC">
      <w:pPr>
        <w:pStyle w:val="4"/>
        <w:spacing w:line="247" w:lineRule="auto"/>
        <w:ind w:left="1800" w:right="1286" w:firstLine="640"/>
        <w:jc w:val="both"/>
        <w:rPr>
          <w:rFonts w:hint="eastAsia" w:ascii="仿宋_GB2312" w:hAnsi="仿宋_GB2312" w:eastAsia="仿宋_GB2312" w:cs="仿宋_GB2312"/>
          <w:spacing w:val="-8"/>
          <w:w w:val="95"/>
        </w:rPr>
      </w:pPr>
      <w:r>
        <w:rPr>
          <w:rFonts w:hint="eastAsia" w:ascii="仿宋_GB2312" w:hAnsi="仿宋_GB2312" w:eastAsia="仿宋_GB2312" w:cs="仿宋_GB2312"/>
          <w:spacing w:val="-8"/>
          <w:w w:val="95"/>
        </w:rPr>
        <w:t>消防</w:t>
      </w:r>
      <w:r>
        <w:rPr>
          <w:rFonts w:hint="eastAsia" w:ascii="仿宋_GB2312" w:hAnsi="仿宋_GB2312" w:eastAsia="仿宋_GB2312" w:cs="仿宋_GB2312"/>
          <w:spacing w:val="-8"/>
          <w:w w:val="95"/>
          <w:lang w:eastAsia="zh-CN"/>
        </w:rPr>
        <w:t>救援</w:t>
      </w:r>
      <w:r>
        <w:rPr>
          <w:rFonts w:hint="eastAsia" w:ascii="仿宋_GB2312" w:hAnsi="仿宋_GB2312" w:eastAsia="仿宋_GB2312" w:cs="仿宋_GB2312"/>
          <w:spacing w:val="-8"/>
          <w:w w:val="95"/>
        </w:rPr>
        <w:t>大队是消防监督的基层单位，其主要职能为：</w:t>
      </w:r>
    </w:p>
    <w:p w14:paraId="7394605D">
      <w:pPr>
        <w:pStyle w:val="4"/>
        <w:spacing w:line="247" w:lineRule="auto"/>
        <w:ind w:left="1800" w:right="1286" w:firstLine="640"/>
        <w:jc w:val="both"/>
        <w:rPr>
          <w:rFonts w:hint="eastAsia" w:ascii="仿宋_GB2312" w:hAnsi="仿宋_GB2312" w:eastAsia="仿宋_GB2312" w:cs="仿宋_GB2312"/>
          <w:spacing w:val="-8"/>
          <w:w w:val="95"/>
        </w:rPr>
      </w:pPr>
      <w:r>
        <w:rPr>
          <w:rFonts w:hint="eastAsia" w:ascii="仿宋_GB2312" w:hAnsi="仿宋_GB2312" w:eastAsia="仿宋_GB2312" w:cs="仿宋_GB2312"/>
          <w:spacing w:val="-8"/>
          <w:w w:val="95"/>
        </w:rPr>
        <w:t>（1）主要负责所辖范围内的消防执法和防火监督工作；</w:t>
      </w:r>
    </w:p>
    <w:p w14:paraId="373EF0CF">
      <w:pPr>
        <w:pStyle w:val="4"/>
        <w:spacing w:line="247" w:lineRule="auto"/>
        <w:ind w:left="1800" w:right="1286" w:firstLine="640"/>
        <w:jc w:val="both"/>
        <w:rPr>
          <w:rFonts w:hint="eastAsia" w:ascii="仿宋_GB2312" w:hAnsi="仿宋_GB2312" w:eastAsia="仿宋_GB2312" w:cs="仿宋_GB2312"/>
          <w:spacing w:val="-8"/>
          <w:w w:val="95"/>
        </w:rPr>
      </w:pPr>
      <w:r>
        <w:rPr>
          <w:rFonts w:hint="eastAsia" w:ascii="仿宋_GB2312" w:hAnsi="仿宋_GB2312" w:eastAsia="仿宋_GB2312" w:cs="仿宋_GB2312"/>
          <w:spacing w:val="-8"/>
          <w:w w:val="95"/>
        </w:rPr>
        <w:t>（2）根据支队的防火、灭火工作指示、计划和要求，制定落实的具体措施，并贯彻执行；</w:t>
      </w:r>
    </w:p>
    <w:p w14:paraId="3D0AC0BA">
      <w:pPr>
        <w:pStyle w:val="4"/>
        <w:spacing w:line="247" w:lineRule="auto"/>
        <w:ind w:left="1800" w:right="1286" w:firstLine="640"/>
        <w:jc w:val="both"/>
        <w:rPr>
          <w:rFonts w:hint="eastAsia" w:ascii="仿宋_GB2312" w:hAnsi="仿宋_GB2312" w:eastAsia="仿宋_GB2312" w:cs="仿宋_GB2312"/>
          <w:spacing w:val="-8"/>
          <w:w w:val="95"/>
        </w:rPr>
      </w:pPr>
      <w:r>
        <w:rPr>
          <w:rFonts w:hint="eastAsia" w:ascii="仿宋_GB2312" w:hAnsi="仿宋_GB2312" w:eastAsia="仿宋_GB2312" w:cs="仿宋_GB2312"/>
          <w:spacing w:val="-8"/>
          <w:w w:val="95"/>
        </w:rPr>
        <w:t>（3）落实防火和执勤备战工作的措施；完成防火和灭火抢险工作，特别是重特大火灾或恶性事故战斗行动等。</w:t>
      </w:r>
    </w:p>
    <w:p w14:paraId="24EB979D">
      <w:pPr>
        <w:pStyle w:val="4"/>
        <w:spacing w:line="247" w:lineRule="auto"/>
        <w:ind w:left="1800" w:right="1286" w:firstLine="640"/>
        <w:jc w:val="both"/>
        <w:rPr>
          <w:rFonts w:hint="eastAsia" w:ascii="黑体" w:hAnsi="黑体" w:eastAsia="黑体" w:cs="黑体"/>
          <w:b w:val="0"/>
          <w:bCs w:val="0"/>
          <w:spacing w:val="-8"/>
          <w:w w:val="95"/>
        </w:rPr>
      </w:pPr>
      <w:r>
        <w:rPr>
          <w:rFonts w:hint="eastAsia" w:ascii="黑体" w:hAnsi="黑体" w:eastAsia="黑体" w:cs="黑体"/>
          <w:b w:val="0"/>
          <w:bCs w:val="0"/>
          <w:spacing w:val="-8"/>
          <w:w w:val="95"/>
        </w:rPr>
        <w:t>二、机构设置</w:t>
      </w:r>
    </w:p>
    <w:p w14:paraId="72F192D7">
      <w:pPr>
        <w:pStyle w:val="4"/>
        <w:spacing w:line="247" w:lineRule="auto"/>
        <w:ind w:left="1800" w:right="1286" w:firstLine="640"/>
        <w:jc w:val="both"/>
        <w:rPr>
          <w:rFonts w:hint="eastAsia" w:ascii="仿宋_GB2312" w:hAnsi="仿宋_GB2312" w:eastAsia="仿宋_GB2312" w:cs="仿宋_GB2312"/>
        </w:rPr>
      </w:pPr>
      <w:r>
        <w:rPr>
          <w:rFonts w:hint="eastAsia" w:ascii="仿宋_GB2312" w:hAnsi="仿宋_GB2312" w:eastAsia="仿宋_GB2312" w:cs="仿宋_GB2312"/>
          <w:spacing w:val="-8"/>
          <w:w w:val="95"/>
          <w:lang w:eastAsia="zh-CN"/>
        </w:rPr>
        <w:t>玉田县消防救援大队</w:t>
      </w:r>
      <w:r>
        <w:rPr>
          <w:rFonts w:hint="eastAsia" w:ascii="仿宋_GB2312" w:hAnsi="仿宋_GB2312" w:eastAsia="仿宋_GB2312" w:cs="仿宋_GB2312"/>
          <w:spacing w:val="-8"/>
          <w:w w:val="95"/>
        </w:rPr>
        <w:t>决算单位包括：</w:t>
      </w:r>
      <w:r>
        <w:rPr>
          <w:rFonts w:hint="eastAsia" w:ascii="仿宋_GB2312" w:hAnsi="仿宋_GB2312" w:eastAsia="仿宋_GB2312" w:cs="仿宋_GB2312"/>
          <w:spacing w:val="-8"/>
          <w:w w:val="95"/>
          <w:lang w:eastAsia="zh-CN"/>
        </w:rPr>
        <w:t>玉田县消防救援大队</w:t>
      </w:r>
      <w:r>
        <w:rPr>
          <w:rFonts w:hint="eastAsia" w:ascii="仿宋_GB2312" w:hAnsi="仿宋_GB2312" w:eastAsia="仿宋_GB2312" w:cs="仿宋_GB2312"/>
          <w:spacing w:val="-8"/>
          <w:w w:val="95"/>
        </w:rPr>
        <w:t>。纳入</w:t>
      </w:r>
      <w:r>
        <w:rPr>
          <w:rFonts w:hint="eastAsia" w:ascii="仿宋_GB2312" w:hAnsi="仿宋_GB2312" w:eastAsia="仿宋_GB2312" w:cs="仿宋_GB2312"/>
          <w:spacing w:val="-8"/>
          <w:w w:val="95"/>
          <w:lang w:eastAsia="zh-CN"/>
        </w:rPr>
        <w:t>玉田县消防救援大队。</w:t>
      </w:r>
      <w:r>
        <w:rPr>
          <w:rFonts w:hint="eastAsia" w:ascii="仿宋_GB2312" w:hAnsi="仿宋_GB2312" w:eastAsia="仿宋_GB2312" w:cs="仿宋_GB2312"/>
          <w:spacing w:val="-8"/>
          <w:w w:val="95"/>
        </w:rPr>
        <w:t xml:space="preserve"> 20</w:t>
      </w:r>
      <w:r>
        <w:rPr>
          <w:rFonts w:hint="eastAsia" w:ascii="仿宋_GB2312" w:hAnsi="仿宋_GB2312" w:eastAsia="仿宋_GB2312" w:cs="仿宋_GB2312"/>
        </w:rPr>
        <w:t>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年度部门决算编制范围的四级决算单位如下：</w:t>
      </w:r>
    </w:p>
    <w:p w14:paraId="0CE1C461">
      <w:pPr>
        <w:pStyle w:val="4"/>
        <w:rPr>
          <w:rFonts w:ascii="宋体"/>
          <w:sz w:val="20"/>
        </w:rPr>
      </w:pPr>
    </w:p>
    <w:p w14:paraId="027F2795">
      <w:pPr>
        <w:pStyle w:val="4"/>
        <w:spacing w:before="11"/>
        <w:rPr>
          <w:rFonts w:ascii="宋体"/>
          <w:sz w:val="13"/>
        </w:rPr>
      </w:pPr>
    </w:p>
    <w:tbl>
      <w:tblPr>
        <w:tblStyle w:val="5"/>
        <w:tblW w:w="0" w:type="auto"/>
        <w:tblInd w:w="18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6"/>
        <w:gridCol w:w="6512"/>
      </w:tblGrid>
      <w:tr w14:paraId="033CC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6" w:type="dxa"/>
          </w:tcPr>
          <w:p w14:paraId="4EBE3AF5">
            <w:pPr>
              <w:pStyle w:val="7"/>
              <w:ind w:left="866" w:right="859"/>
              <w:rPr>
                <w:rFonts w:ascii="黑体" w:eastAsia="黑体"/>
                <w:sz w:val="32"/>
              </w:rPr>
            </w:pPr>
            <w:r>
              <w:rPr>
                <w:rFonts w:hint="eastAsia" w:ascii="黑体" w:eastAsia="黑体"/>
                <w:sz w:val="32"/>
              </w:rPr>
              <w:t>序号</w:t>
            </w:r>
          </w:p>
        </w:tc>
        <w:tc>
          <w:tcPr>
            <w:tcW w:w="6512" w:type="dxa"/>
          </w:tcPr>
          <w:p w14:paraId="3FA5925D">
            <w:pPr>
              <w:pStyle w:val="7"/>
              <w:ind w:left="1473"/>
              <w:rPr>
                <w:rFonts w:ascii="黑体" w:eastAsia="黑体"/>
                <w:sz w:val="32"/>
              </w:rPr>
            </w:pPr>
            <w:r>
              <w:rPr>
                <w:rFonts w:hint="eastAsia" w:ascii="黑体" w:eastAsia="黑体"/>
                <w:sz w:val="32"/>
              </w:rPr>
              <w:t>四级决算单位名称</w:t>
            </w:r>
          </w:p>
        </w:tc>
      </w:tr>
      <w:tr w14:paraId="08070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6" w:type="dxa"/>
          </w:tcPr>
          <w:p w14:paraId="27771239">
            <w:pPr>
              <w:pStyle w:val="7"/>
              <w:ind w:right="0"/>
              <w:rPr>
                <w:sz w:val="32"/>
              </w:rPr>
            </w:pPr>
            <w:r>
              <w:rPr>
                <w:w w:val="99"/>
                <w:sz w:val="32"/>
              </w:rPr>
              <w:t>1</w:t>
            </w:r>
          </w:p>
        </w:tc>
        <w:tc>
          <w:tcPr>
            <w:tcW w:w="6512" w:type="dxa"/>
          </w:tcPr>
          <w:p w14:paraId="471B0AC6">
            <w:pPr>
              <w:pStyle w:val="7"/>
              <w:ind w:left="1476"/>
              <w:rPr>
                <w:rFonts w:hint="eastAsia" w:eastAsia="宋体"/>
                <w:sz w:val="32"/>
                <w:lang w:eastAsia="zh-CN"/>
              </w:rPr>
            </w:pPr>
            <w:r>
              <w:rPr>
                <w:rFonts w:hint="eastAsia" w:ascii="仿宋" w:hAnsi="仿宋" w:eastAsia="仿宋" w:cs="仿宋"/>
                <w:sz w:val="32"/>
                <w:lang w:eastAsia="zh-CN"/>
              </w:rPr>
              <w:t>玉田县消防救援大队</w:t>
            </w:r>
          </w:p>
        </w:tc>
      </w:tr>
    </w:tbl>
    <w:p w14:paraId="43F447DC">
      <w:pPr>
        <w:rPr>
          <w:sz w:val="32"/>
        </w:rPr>
        <w:sectPr>
          <w:pgSz w:w="11910" w:h="16840"/>
          <w:pgMar w:top="1500" w:right="0" w:bottom="1160" w:left="0" w:header="0" w:footer="895" w:gutter="0"/>
          <w:cols w:space="720" w:num="1"/>
        </w:sectPr>
      </w:pPr>
    </w:p>
    <w:p w14:paraId="43B5C6A1">
      <w:pPr>
        <w:pStyle w:val="4"/>
        <w:rPr>
          <w:rFonts w:ascii="Times New Roman"/>
          <w:sz w:val="20"/>
        </w:rPr>
      </w:pPr>
      <w:r>
        <mc:AlternateContent>
          <mc:Choice Requires="wps">
            <w:drawing>
              <wp:anchor distT="0" distB="0" distL="114300" distR="114300" simplePos="0" relativeHeight="251665408" behindDoc="0" locked="0" layoutInCell="1" allowOverlap="1">
                <wp:simplePos x="0" y="0"/>
                <wp:positionH relativeFrom="page">
                  <wp:posOffset>0</wp:posOffset>
                </wp:positionH>
                <wp:positionV relativeFrom="page">
                  <wp:posOffset>4109720</wp:posOffset>
                </wp:positionV>
                <wp:extent cx="7559675" cy="25400"/>
                <wp:effectExtent l="0" t="0" r="3175" b="3175"/>
                <wp:wrapNone/>
                <wp:docPr id="3" name="矩形 3"/>
                <wp:cNvGraphicFramePr/>
                <a:graphic xmlns:a="http://schemas.openxmlformats.org/drawingml/2006/main">
                  <a:graphicData uri="http://schemas.microsoft.com/office/word/2010/wordprocessingShape">
                    <wps:wsp>
                      <wps:cNvSpPr/>
                      <wps:spPr>
                        <a:xfrm>
                          <a:off x="0" y="0"/>
                          <a:ext cx="7559675" cy="25400"/>
                        </a:xfrm>
                        <a:prstGeom prst="rect">
                          <a:avLst/>
                        </a:prstGeom>
                        <a:solidFill>
                          <a:srgbClr val="385D89"/>
                        </a:solidFill>
                        <a:ln>
                          <a:noFill/>
                        </a:ln>
                      </wps:spPr>
                      <wps:bodyPr upright="1"/>
                    </wps:wsp>
                  </a:graphicData>
                </a:graphic>
              </wp:anchor>
            </w:drawing>
          </mc:Choice>
          <mc:Fallback>
            <w:pict>
              <v:rect id="_x0000_s1026" o:spid="_x0000_s1026" o:spt="1" style="position:absolute;left:0pt;margin-left:0pt;margin-top:323.6pt;height:2pt;width:595.25pt;mso-position-horizontal-relative:page;mso-position-vertical-relative:page;z-index:251665408;mso-width-relative:page;mso-height-relative:page;" fillcolor="#385D89" filled="t" stroked="f" coordsize="21600,21600" o:gfxdata="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Q9rl9gAAAAJAQAADwAAAAAAAAABACAAAAAiAAAAZHJzL2Rvd25yZXYueG1sUEsBAhQAFAAA&#10;AAgAh07iQGzFjBe2AQAAXgMAAA4AAAAAAAAAAQAgAAAAJwEAAGRycy9lMm9Eb2MueG1sUEsFBgAA&#10;AAAGAAYAWQEAAE8FAAAAAA==&#10;">
                <v:fill on="t" focussize="0,0"/>
                <v:stroke on="f"/>
                <v:imagedata o:title=""/>
                <o:lock v:ext="edit" aspectratio="f"/>
              </v:rect>
            </w:pict>
          </mc:Fallback>
        </mc:AlternateContent>
      </w:r>
      <w:r>
        <mc:AlternateContent>
          <mc:Choice Requires="wps">
            <w:drawing>
              <wp:anchor distT="0" distB="0" distL="114300" distR="114300" simplePos="0" relativeHeight="251666432" behindDoc="0" locked="0" layoutInCell="1" allowOverlap="1">
                <wp:simplePos x="0" y="0"/>
                <wp:positionH relativeFrom="page">
                  <wp:posOffset>0</wp:posOffset>
                </wp:positionH>
                <wp:positionV relativeFrom="page">
                  <wp:posOffset>6072505</wp:posOffset>
                </wp:positionV>
                <wp:extent cx="7559675" cy="25400"/>
                <wp:effectExtent l="0" t="0" r="3175" b="3175"/>
                <wp:wrapNone/>
                <wp:docPr id="11" name="矩形 11"/>
                <wp:cNvGraphicFramePr/>
                <a:graphic xmlns:a="http://schemas.openxmlformats.org/drawingml/2006/main">
                  <a:graphicData uri="http://schemas.microsoft.com/office/word/2010/wordprocessingShape">
                    <wps:wsp>
                      <wps:cNvSpPr/>
                      <wps:spPr>
                        <a:xfrm>
                          <a:off x="0" y="0"/>
                          <a:ext cx="7559675" cy="25400"/>
                        </a:xfrm>
                        <a:prstGeom prst="rect">
                          <a:avLst/>
                        </a:prstGeom>
                        <a:solidFill>
                          <a:srgbClr val="385D89"/>
                        </a:solidFill>
                        <a:ln>
                          <a:noFill/>
                        </a:ln>
                      </wps:spPr>
                      <wps:bodyPr upright="1"/>
                    </wps:wsp>
                  </a:graphicData>
                </a:graphic>
              </wp:anchor>
            </w:drawing>
          </mc:Choice>
          <mc:Fallback>
            <w:pict>
              <v:rect id="_x0000_s1026" o:spid="_x0000_s1026" o:spt="1" style="position:absolute;left:0pt;margin-left:0pt;margin-top:478.15pt;height:2pt;width:595.25pt;mso-position-horizontal-relative:page;mso-position-vertical-relative:page;z-index:251666432;mso-width-relative:page;mso-height-relative:page;" fillcolor="#385D89" filled="t" stroked="f" coordsize="21600,21600" o:gfxdata="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0L6I22AAAAAkBAAAPAAAAAAAAAAEAIAAAACIAAABkcnMvZG93bnJldi54bWxQSwECFAAUAAAA&#10;CACHTuJA/VuhsbUBAABgAwAADgAAAAAAAAABACAAAAAnAQAAZHJzL2Uyb0RvYy54bWxQSwUGAAAA&#10;AAYABgBZAQAATgUAAAAA&#10;">
                <v:fill on="t" focussize="0,0"/>
                <v:stroke on="f"/>
                <v:imagedata o:title=""/>
                <o:lock v:ext="edit" aspectratio="f"/>
              </v:rect>
            </w:pict>
          </mc:Fallback>
        </mc:AlternateContent>
      </w:r>
    </w:p>
    <w:p w14:paraId="63284CDC">
      <w:pPr>
        <w:pStyle w:val="4"/>
        <w:rPr>
          <w:rFonts w:ascii="Times New Roman"/>
          <w:sz w:val="20"/>
        </w:rPr>
      </w:pPr>
    </w:p>
    <w:p w14:paraId="1DD7E856">
      <w:pPr>
        <w:pStyle w:val="4"/>
        <w:rPr>
          <w:rFonts w:ascii="Times New Roman"/>
          <w:sz w:val="20"/>
        </w:rPr>
      </w:pPr>
    </w:p>
    <w:p w14:paraId="09402797">
      <w:pPr>
        <w:pStyle w:val="4"/>
        <w:rPr>
          <w:rFonts w:ascii="Times New Roman"/>
          <w:sz w:val="20"/>
        </w:rPr>
      </w:pPr>
    </w:p>
    <w:p w14:paraId="2340DF1F">
      <w:pPr>
        <w:pStyle w:val="4"/>
        <w:rPr>
          <w:rFonts w:ascii="Times New Roman"/>
          <w:sz w:val="20"/>
        </w:rPr>
      </w:pPr>
    </w:p>
    <w:p w14:paraId="6D20B606">
      <w:pPr>
        <w:pStyle w:val="4"/>
        <w:rPr>
          <w:rFonts w:ascii="Times New Roman"/>
          <w:sz w:val="20"/>
        </w:rPr>
      </w:pPr>
    </w:p>
    <w:p w14:paraId="7CFA7539">
      <w:pPr>
        <w:pStyle w:val="4"/>
        <w:rPr>
          <w:rFonts w:ascii="Times New Roman"/>
          <w:sz w:val="20"/>
        </w:rPr>
      </w:pPr>
    </w:p>
    <w:p w14:paraId="1A87E8A8">
      <w:pPr>
        <w:pStyle w:val="4"/>
        <w:rPr>
          <w:rFonts w:ascii="Times New Roman"/>
          <w:sz w:val="20"/>
        </w:rPr>
      </w:pPr>
    </w:p>
    <w:p w14:paraId="17651188">
      <w:pPr>
        <w:pStyle w:val="4"/>
        <w:rPr>
          <w:rFonts w:ascii="Times New Roman"/>
          <w:sz w:val="20"/>
        </w:rPr>
      </w:pPr>
    </w:p>
    <w:p w14:paraId="10778A67">
      <w:pPr>
        <w:pStyle w:val="4"/>
        <w:rPr>
          <w:rFonts w:ascii="Times New Roman"/>
          <w:sz w:val="20"/>
        </w:rPr>
      </w:pPr>
    </w:p>
    <w:p w14:paraId="07E28F85">
      <w:pPr>
        <w:pStyle w:val="4"/>
        <w:rPr>
          <w:rFonts w:ascii="Times New Roman"/>
          <w:sz w:val="20"/>
        </w:rPr>
      </w:pPr>
    </w:p>
    <w:p w14:paraId="4CB114FF">
      <w:pPr>
        <w:pStyle w:val="4"/>
        <w:rPr>
          <w:rFonts w:ascii="Times New Roman"/>
          <w:sz w:val="20"/>
        </w:rPr>
      </w:pPr>
    </w:p>
    <w:p w14:paraId="17BD376E">
      <w:pPr>
        <w:pStyle w:val="4"/>
        <w:rPr>
          <w:rFonts w:ascii="Times New Roman"/>
          <w:sz w:val="20"/>
        </w:rPr>
      </w:pPr>
    </w:p>
    <w:p w14:paraId="314E3F90">
      <w:pPr>
        <w:pStyle w:val="4"/>
        <w:rPr>
          <w:rFonts w:ascii="Times New Roman"/>
          <w:sz w:val="20"/>
        </w:rPr>
      </w:pPr>
    </w:p>
    <w:p w14:paraId="76F4E3A9">
      <w:pPr>
        <w:pStyle w:val="4"/>
        <w:rPr>
          <w:rFonts w:ascii="Times New Roman"/>
          <w:sz w:val="20"/>
        </w:rPr>
      </w:pPr>
    </w:p>
    <w:p w14:paraId="1121816A">
      <w:pPr>
        <w:pStyle w:val="4"/>
        <w:rPr>
          <w:rFonts w:ascii="Times New Roman"/>
          <w:sz w:val="20"/>
        </w:rPr>
      </w:pPr>
    </w:p>
    <w:p w14:paraId="430A9DB6">
      <w:pPr>
        <w:pStyle w:val="4"/>
        <w:rPr>
          <w:rFonts w:ascii="Times New Roman"/>
          <w:sz w:val="20"/>
        </w:rPr>
      </w:pPr>
    </w:p>
    <w:p w14:paraId="2E8672CC">
      <w:pPr>
        <w:pStyle w:val="4"/>
        <w:rPr>
          <w:rFonts w:ascii="Times New Roman"/>
          <w:sz w:val="20"/>
        </w:rPr>
      </w:pPr>
    </w:p>
    <w:p w14:paraId="6AD3C598">
      <w:pPr>
        <w:pStyle w:val="4"/>
        <w:rPr>
          <w:rFonts w:ascii="Times New Roman"/>
          <w:sz w:val="20"/>
        </w:rPr>
      </w:pPr>
    </w:p>
    <w:p w14:paraId="21D236AA">
      <w:pPr>
        <w:pStyle w:val="4"/>
        <w:rPr>
          <w:rFonts w:ascii="Times New Roman"/>
          <w:sz w:val="20"/>
        </w:rPr>
      </w:pPr>
    </w:p>
    <w:p w14:paraId="34C2F17C">
      <w:pPr>
        <w:pStyle w:val="4"/>
        <w:spacing w:before="3" w:after="1"/>
        <w:rPr>
          <w:rFonts w:ascii="Times New Roman"/>
          <w:sz w:val="27"/>
        </w:rPr>
      </w:pPr>
    </w:p>
    <w:p w14:paraId="1495728E">
      <w:pPr>
        <w:pStyle w:val="4"/>
        <w:ind w:right="-58"/>
        <w:rPr>
          <w:rFonts w:ascii="Times New Roman"/>
          <w:sz w:val="20"/>
        </w:rPr>
      </w:pPr>
      <w:r>
        <w:rPr>
          <w:rFonts w:ascii="Times New Roman"/>
          <w:sz w:val="20"/>
        </w:rPr>
        <mc:AlternateContent>
          <mc:Choice Requires="wps">
            <w:drawing>
              <wp:inline distT="0" distB="0" distL="114300" distR="114300">
                <wp:extent cx="7560310" cy="1937385"/>
                <wp:effectExtent l="0" t="0" r="2540" b="5715"/>
                <wp:docPr id="13" name="文本框 13"/>
                <wp:cNvGraphicFramePr/>
                <a:graphic xmlns:a="http://schemas.openxmlformats.org/drawingml/2006/main">
                  <a:graphicData uri="http://schemas.microsoft.com/office/word/2010/wordprocessingShape">
                    <wps:wsp>
                      <wps:cNvSpPr txBox="1"/>
                      <wps:spPr>
                        <a:xfrm>
                          <a:off x="0" y="0"/>
                          <a:ext cx="7560310" cy="1937385"/>
                        </a:xfrm>
                        <a:prstGeom prst="rect">
                          <a:avLst/>
                        </a:prstGeom>
                        <a:solidFill>
                          <a:srgbClr val="94B3D6"/>
                        </a:solidFill>
                        <a:ln>
                          <a:noFill/>
                        </a:ln>
                      </wps:spPr>
                      <wps:txbx>
                        <w:txbxContent>
                          <w:p w14:paraId="3CE6148E">
                            <w:pPr>
                              <w:tabs>
                                <w:tab w:val="left" w:pos="3420"/>
                              </w:tabs>
                              <w:spacing w:before="21" w:line="947" w:lineRule="exact"/>
                              <w:ind w:left="1070"/>
                              <w:jc w:val="center"/>
                              <w:rPr>
                                <w:rFonts w:ascii="Microsoft JhengHei" w:eastAsia="Microsoft JhengHei"/>
                                <w:b/>
                                <w:sz w:val="52"/>
                              </w:rPr>
                            </w:pPr>
                            <w:r>
                              <w:rPr>
                                <w:rFonts w:hint="eastAsia" w:ascii="Microsoft JhengHei" w:eastAsia="Microsoft JhengHei"/>
                                <w:b/>
                                <w:sz w:val="52"/>
                              </w:rPr>
                              <w:t>第二部分</w:t>
                            </w:r>
                            <w:r>
                              <w:rPr>
                                <w:rFonts w:hint="eastAsia" w:ascii="Microsoft JhengHei" w:eastAsia="Microsoft JhengHei"/>
                                <w:b/>
                                <w:sz w:val="52"/>
                              </w:rPr>
                              <w:tab/>
                            </w:r>
                            <w:r>
                              <w:rPr>
                                <w:rFonts w:hint="eastAsia" w:ascii="Microsoft JhengHei" w:eastAsia="Microsoft JhengHei"/>
                                <w:b/>
                                <w:sz w:val="52"/>
                                <w:lang w:val="en-US" w:eastAsia="zh-CN"/>
                              </w:rPr>
                              <w:t>玉田县消防救援大队</w:t>
                            </w:r>
                            <w:r>
                              <w:rPr>
                                <w:rFonts w:hint="eastAsia" w:ascii="Microsoft JhengHei" w:eastAsia="Microsoft JhengHei"/>
                                <w:b/>
                                <w:sz w:val="52"/>
                              </w:rPr>
                              <w:t>202</w:t>
                            </w:r>
                            <w:r>
                              <w:rPr>
                                <w:rFonts w:hint="eastAsia" w:ascii="Microsoft JhengHei" w:eastAsia="Microsoft JhengHei"/>
                                <w:b/>
                                <w:sz w:val="52"/>
                                <w:lang w:val="en-US" w:eastAsia="zh-CN"/>
                              </w:rPr>
                              <w:t>3</w:t>
                            </w:r>
                            <w:r>
                              <w:rPr>
                                <w:rFonts w:hint="eastAsia" w:ascii="Microsoft JhengHei" w:eastAsia="Microsoft JhengHei"/>
                                <w:b/>
                                <w:sz w:val="52"/>
                              </w:rPr>
                              <w:t xml:space="preserve"> 年度部门决算表</w:t>
                            </w:r>
                          </w:p>
                        </w:txbxContent>
                      </wps:txbx>
                      <wps:bodyPr lIns="0" tIns="0" rIns="0" bIns="0" upright="1"/>
                    </wps:wsp>
                  </a:graphicData>
                </a:graphic>
              </wp:inline>
            </w:drawing>
          </mc:Choice>
          <mc:Fallback>
            <w:pict>
              <v:shape id="_x0000_s1026" o:spid="_x0000_s1026" o:spt="202" type="#_x0000_t202" style="height:152.55pt;width:595.3pt;" fillcolor="#94B3D6" filled="t" stroked="f" coordsize="21600,21600" o:gfxdata="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YXT/R1QAAAAYBAAAPAAAAAAAAAAEAIAAAACIA&#10;AABkcnMvZG93bnJldi54bWxQSwECFAAUAAAACACHTuJAvMUT7NMBAACeAwAADgAAAAAAAAABACAA&#10;AAAkAQAAZHJzL2Uyb0RvYy54bWxQSwUGAAAAAAYABgBZAQAAaQUAAAAA&#10;">
                <v:fill on="t" focussize="0,0"/>
                <v:stroke on="f"/>
                <v:imagedata o:title=""/>
                <o:lock v:ext="edit" aspectratio="f"/>
                <v:textbox inset="0mm,0mm,0mm,0mm">
                  <w:txbxContent>
                    <w:p w14:paraId="3CE6148E">
                      <w:pPr>
                        <w:tabs>
                          <w:tab w:val="left" w:pos="3420"/>
                        </w:tabs>
                        <w:spacing w:before="21" w:line="947" w:lineRule="exact"/>
                        <w:ind w:left="1070"/>
                        <w:jc w:val="center"/>
                        <w:rPr>
                          <w:rFonts w:ascii="Microsoft JhengHei" w:eastAsia="Microsoft JhengHei"/>
                          <w:b/>
                          <w:sz w:val="52"/>
                        </w:rPr>
                      </w:pPr>
                      <w:r>
                        <w:rPr>
                          <w:rFonts w:hint="eastAsia" w:ascii="Microsoft JhengHei" w:eastAsia="Microsoft JhengHei"/>
                          <w:b/>
                          <w:sz w:val="52"/>
                        </w:rPr>
                        <w:t>第二部分</w:t>
                      </w:r>
                      <w:r>
                        <w:rPr>
                          <w:rFonts w:hint="eastAsia" w:ascii="Microsoft JhengHei" w:eastAsia="Microsoft JhengHei"/>
                          <w:b/>
                          <w:sz w:val="52"/>
                        </w:rPr>
                        <w:tab/>
                      </w:r>
                      <w:r>
                        <w:rPr>
                          <w:rFonts w:hint="eastAsia" w:ascii="Microsoft JhengHei" w:eastAsia="Microsoft JhengHei"/>
                          <w:b/>
                          <w:sz w:val="52"/>
                          <w:lang w:val="en-US" w:eastAsia="zh-CN"/>
                        </w:rPr>
                        <w:t>玉田县消防救援大队</w:t>
                      </w:r>
                      <w:r>
                        <w:rPr>
                          <w:rFonts w:hint="eastAsia" w:ascii="Microsoft JhengHei" w:eastAsia="Microsoft JhengHei"/>
                          <w:b/>
                          <w:sz w:val="52"/>
                        </w:rPr>
                        <w:t>202</w:t>
                      </w:r>
                      <w:r>
                        <w:rPr>
                          <w:rFonts w:hint="eastAsia" w:ascii="Microsoft JhengHei" w:eastAsia="Microsoft JhengHei"/>
                          <w:b/>
                          <w:sz w:val="52"/>
                          <w:lang w:val="en-US" w:eastAsia="zh-CN"/>
                        </w:rPr>
                        <w:t>3</w:t>
                      </w:r>
                      <w:r>
                        <w:rPr>
                          <w:rFonts w:hint="eastAsia" w:ascii="Microsoft JhengHei" w:eastAsia="Microsoft JhengHei"/>
                          <w:b/>
                          <w:sz w:val="52"/>
                        </w:rPr>
                        <w:t xml:space="preserve"> 年度部门决算表</w:t>
                      </w:r>
                    </w:p>
                  </w:txbxContent>
                </v:textbox>
                <w10:wrap type="none"/>
                <w10:anchorlock/>
              </v:shape>
            </w:pict>
          </mc:Fallback>
        </mc:AlternateContent>
      </w:r>
    </w:p>
    <w:p w14:paraId="7ADE0400">
      <w:pPr>
        <w:rPr>
          <w:rFonts w:ascii="Times New Roman"/>
          <w:sz w:val="20"/>
        </w:rPr>
        <w:sectPr>
          <w:pgSz w:w="11910" w:h="16840"/>
          <w:pgMar w:top="1580" w:right="0" w:bottom="1160" w:left="0" w:header="0" w:footer="895" w:gutter="0"/>
          <w:cols w:space="720" w:num="1"/>
        </w:sectPr>
      </w:pPr>
    </w:p>
    <w:p w14:paraId="0C4FEF73">
      <w:pPr>
        <w:pStyle w:val="4"/>
        <w:jc w:val="center"/>
      </w:pPr>
      <w:r>
        <w:drawing>
          <wp:inline distT="0" distB="0" distL="114300" distR="114300">
            <wp:extent cx="6791325" cy="4533900"/>
            <wp:effectExtent l="0" t="0" r="9525"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7"/>
                    <a:stretch>
                      <a:fillRect/>
                    </a:stretch>
                  </pic:blipFill>
                  <pic:spPr>
                    <a:xfrm>
                      <a:off x="0" y="0"/>
                      <a:ext cx="6791325" cy="4533900"/>
                    </a:xfrm>
                    <a:prstGeom prst="rect">
                      <a:avLst/>
                    </a:prstGeom>
                    <a:noFill/>
                    <a:ln>
                      <a:noFill/>
                    </a:ln>
                  </pic:spPr>
                </pic:pic>
              </a:graphicData>
            </a:graphic>
          </wp:inline>
        </w:drawing>
      </w:r>
    </w:p>
    <w:p w14:paraId="1A538151">
      <w:pPr>
        <w:pStyle w:val="4"/>
        <w:sectPr>
          <w:pgSz w:w="11910" w:h="16840"/>
          <w:pgMar w:top="1560" w:right="0" w:bottom="1080" w:left="0" w:header="0" w:footer="895" w:gutter="0"/>
          <w:cols w:space="720" w:num="1"/>
        </w:sectPr>
      </w:pPr>
    </w:p>
    <w:p w14:paraId="485E295E">
      <w:pPr>
        <w:pStyle w:val="4"/>
        <w:jc w:val="center"/>
        <w:rPr>
          <w:rFonts w:ascii="Times New Roman"/>
          <w:sz w:val="20"/>
        </w:rPr>
        <w:sectPr>
          <w:pgSz w:w="11910" w:h="16840"/>
          <w:pgMar w:top="1580" w:right="0" w:bottom="1080" w:left="0" w:header="0" w:footer="895" w:gutter="0"/>
          <w:cols w:space="720" w:num="1"/>
        </w:sectPr>
      </w:pPr>
      <w:r>
        <w:drawing>
          <wp:inline distT="0" distB="0" distL="114300" distR="114300">
            <wp:extent cx="7560945" cy="1327785"/>
            <wp:effectExtent l="0" t="0" r="1905" b="571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8"/>
                    <a:stretch>
                      <a:fillRect/>
                    </a:stretch>
                  </pic:blipFill>
                  <pic:spPr>
                    <a:xfrm>
                      <a:off x="0" y="0"/>
                      <a:ext cx="7560945" cy="1327785"/>
                    </a:xfrm>
                    <a:prstGeom prst="rect">
                      <a:avLst/>
                    </a:prstGeom>
                    <a:noFill/>
                    <a:ln>
                      <a:noFill/>
                    </a:ln>
                  </pic:spPr>
                </pic:pic>
              </a:graphicData>
            </a:graphic>
          </wp:inline>
        </w:drawing>
      </w:r>
    </w:p>
    <w:p w14:paraId="46B6F9D7">
      <w:pPr>
        <w:pStyle w:val="4"/>
        <w:jc w:val="center"/>
        <w:rPr>
          <w:rFonts w:hint="eastAsia" w:ascii="Times New Roman" w:eastAsia="Arial Unicode MS"/>
          <w:sz w:val="20"/>
          <w:lang w:eastAsia="zh-CN"/>
        </w:rPr>
        <w:sectPr>
          <w:pgSz w:w="11910" w:h="16840"/>
          <w:pgMar w:top="1500" w:right="0" w:bottom="1080" w:left="0" w:header="0" w:footer="895" w:gutter="0"/>
          <w:cols w:space="720" w:num="1"/>
        </w:sectPr>
      </w:pPr>
      <w:r>
        <w:drawing>
          <wp:inline distT="0" distB="0" distL="114300" distR="114300">
            <wp:extent cx="7557135" cy="1340485"/>
            <wp:effectExtent l="0" t="0" r="5715" b="12065"/>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9"/>
                    <a:stretch>
                      <a:fillRect/>
                    </a:stretch>
                  </pic:blipFill>
                  <pic:spPr>
                    <a:xfrm>
                      <a:off x="0" y="0"/>
                      <a:ext cx="7557135" cy="1340485"/>
                    </a:xfrm>
                    <a:prstGeom prst="rect">
                      <a:avLst/>
                    </a:prstGeom>
                    <a:noFill/>
                    <a:ln>
                      <a:noFill/>
                    </a:ln>
                  </pic:spPr>
                </pic:pic>
              </a:graphicData>
            </a:graphic>
          </wp:inline>
        </w:drawing>
      </w:r>
    </w:p>
    <w:p w14:paraId="21F7DB85">
      <w:pPr>
        <w:pStyle w:val="4"/>
        <w:jc w:val="center"/>
        <w:rPr>
          <w:rFonts w:ascii="Times New Roman"/>
          <w:sz w:val="20"/>
        </w:rPr>
        <w:sectPr>
          <w:footerReference r:id="rId4" w:type="default"/>
          <w:pgSz w:w="11910" w:h="16840"/>
          <w:pgMar w:top="1540" w:right="0" w:bottom="1080" w:left="0" w:header="0" w:footer="895" w:gutter="0"/>
          <w:pgNumType w:start="10"/>
          <w:cols w:space="720" w:num="1"/>
        </w:sectPr>
      </w:pPr>
      <w:r>
        <w:drawing>
          <wp:inline distT="0" distB="0" distL="114300" distR="114300">
            <wp:extent cx="7557770" cy="3881755"/>
            <wp:effectExtent l="0" t="0" r="5080" b="4445"/>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10"/>
                    <a:stretch>
                      <a:fillRect/>
                    </a:stretch>
                  </pic:blipFill>
                  <pic:spPr>
                    <a:xfrm>
                      <a:off x="0" y="0"/>
                      <a:ext cx="7557770" cy="3881755"/>
                    </a:xfrm>
                    <a:prstGeom prst="rect">
                      <a:avLst/>
                    </a:prstGeom>
                    <a:noFill/>
                    <a:ln>
                      <a:noFill/>
                    </a:ln>
                  </pic:spPr>
                </pic:pic>
              </a:graphicData>
            </a:graphic>
          </wp:inline>
        </w:drawing>
      </w:r>
    </w:p>
    <w:p w14:paraId="511084CD">
      <w:pPr>
        <w:pStyle w:val="4"/>
        <w:jc w:val="center"/>
        <w:rPr>
          <w:rFonts w:ascii="Times New Roman"/>
          <w:sz w:val="20"/>
        </w:rPr>
        <w:sectPr>
          <w:pgSz w:w="11910" w:h="16840"/>
          <w:pgMar w:top="1460" w:right="0" w:bottom="1080" w:left="0" w:header="0" w:footer="895" w:gutter="0"/>
          <w:cols w:space="720" w:num="1"/>
        </w:sectPr>
      </w:pPr>
      <w:r>
        <w:drawing>
          <wp:inline distT="0" distB="0" distL="114300" distR="114300">
            <wp:extent cx="6553200" cy="1809750"/>
            <wp:effectExtent l="0" t="0" r="0" b="0"/>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pic:cNvPicPr>
                      <a:picLocks noChangeAspect="1"/>
                    </pic:cNvPicPr>
                  </pic:nvPicPr>
                  <pic:blipFill>
                    <a:blip r:embed="rId11"/>
                    <a:stretch>
                      <a:fillRect/>
                    </a:stretch>
                  </pic:blipFill>
                  <pic:spPr>
                    <a:xfrm>
                      <a:off x="0" y="0"/>
                      <a:ext cx="6553200" cy="1809750"/>
                    </a:xfrm>
                    <a:prstGeom prst="rect">
                      <a:avLst/>
                    </a:prstGeom>
                    <a:noFill/>
                    <a:ln>
                      <a:noFill/>
                    </a:ln>
                  </pic:spPr>
                </pic:pic>
              </a:graphicData>
            </a:graphic>
          </wp:inline>
        </w:drawing>
      </w:r>
    </w:p>
    <w:p w14:paraId="218C2B5F">
      <w:pPr>
        <w:pStyle w:val="4"/>
        <w:jc w:val="center"/>
        <w:rPr>
          <w:rFonts w:ascii="Times New Roman"/>
          <w:sz w:val="20"/>
        </w:rPr>
        <w:sectPr>
          <w:pgSz w:w="11910" w:h="16840"/>
          <w:pgMar w:top="1480" w:right="0" w:bottom="1080" w:left="0" w:header="0" w:footer="895" w:gutter="0"/>
          <w:cols w:space="720" w:num="1"/>
        </w:sectPr>
      </w:pPr>
      <w:r>
        <w:drawing>
          <wp:inline distT="0" distB="0" distL="114300" distR="114300">
            <wp:extent cx="7560310" cy="3160395"/>
            <wp:effectExtent l="0" t="0" r="2540" b="1905"/>
            <wp:docPr id="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pic:cNvPicPr>
                      <a:picLocks noChangeAspect="1"/>
                    </pic:cNvPicPr>
                  </pic:nvPicPr>
                  <pic:blipFill>
                    <a:blip r:embed="rId12"/>
                    <a:stretch>
                      <a:fillRect/>
                    </a:stretch>
                  </pic:blipFill>
                  <pic:spPr>
                    <a:xfrm>
                      <a:off x="0" y="0"/>
                      <a:ext cx="7560310" cy="3160395"/>
                    </a:xfrm>
                    <a:prstGeom prst="rect">
                      <a:avLst/>
                    </a:prstGeom>
                    <a:noFill/>
                    <a:ln>
                      <a:noFill/>
                    </a:ln>
                  </pic:spPr>
                </pic:pic>
              </a:graphicData>
            </a:graphic>
          </wp:inline>
        </w:drawing>
      </w:r>
    </w:p>
    <w:p w14:paraId="21F58821">
      <w:pPr>
        <w:pStyle w:val="4"/>
        <w:ind w:left="1991"/>
        <w:rPr>
          <w:rFonts w:ascii="Times New Roman"/>
          <w:sz w:val="20"/>
        </w:rPr>
      </w:pPr>
    </w:p>
    <w:p w14:paraId="7B92C1FF">
      <w:pPr>
        <w:jc w:val="center"/>
        <w:rPr>
          <w:rFonts w:ascii="Times New Roman"/>
          <w:sz w:val="20"/>
        </w:rPr>
        <w:sectPr>
          <w:pgSz w:w="11910" w:h="16840"/>
          <w:pgMar w:top="1460" w:right="0" w:bottom="1080" w:left="0" w:header="0" w:footer="895" w:gutter="0"/>
          <w:cols w:space="720" w:num="1"/>
        </w:sectPr>
      </w:pPr>
      <w:r>
        <w:drawing>
          <wp:inline distT="0" distB="0" distL="114300" distR="114300">
            <wp:extent cx="7286625" cy="1104900"/>
            <wp:effectExtent l="0" t="0" r="9525" b="0"/>
            <wp:docPr id="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pic:cNvPicPr>
                      <a:picLocks noChangeAspect="1"/>
                    </pic:cNvPicPr>
                  </pic:nvPicPr>
                  <pic:blipFill>
                    <a:blip r:embed="rId13"/>
                    <a:stretch>
                      <a:fillRect/>
                    </a:stretch>
                  </pic:blipFill>
                  <pic:spPr>
                    <a:xfrm>
                      <a:off x="0" y="0"/>
                      <a:ext cx="7286625" cy="1104900"/>
                    </a:xfrm>
                    <a:prstGeom prst="rect">
                      <a:avLst/>
                    </a:prstGeom>
                    <a:noFill/>
                    <a:ln>
                      <a:noFill/>
                    </a:ln>
                  </pic:spPr>
                </pic:pic>
              </a:graphicData>
            </a:graphic>
          </wp:inline>
        </w:drawing>
      </w:r>
    </w:p>
    <w:p w14:paraId="491A7B41">
      <w:pPr>
        <w:pStyle w:val="4"/>
        <w:spacing w:before="6"/>
        <w:rPr>
          <w:rFonts w:ascii="Times New Roman"/>
          <w:sz w:val="3"/>
        </w:rPr>
      </w:pPr>
    </w:p>
    <w:p w14:paraId="23D39798">
      <w:pPr>
        <w:pStyle w:val="4"/>
        <w:jc w:val="center"/>
        <w:rPr>
          <w:rFonts w:ascii="Times New Roman"/>
          <w:sz w:val="20"/>
        </w:rPr>
        <w:sectPr>
          <w:pgSz w:w="11910" w:h="16840"/>
          <w:pgMar w:top="1580" w:right="0" w:bottom="1080" w:left="0" w:header="0" w:footer="895" w:gutter="0"/>
          <w:cols w:space="720" w:num="1"/>
        </w:sectPr>
      </w:pPr>
      <w:r>
        <w:drawing>
          <wp:inline distT="0" distB="0" distL="114300" distR="114300">
            <wp:extent cx="6419850" cy="1533525"/>
            <wp:effectExtent l="0" t="0" r="0" b="9525"/>
            <wp:docPr id="2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pic:cNvPicPr>
                      <a:picLocks noChangeAspect="1"/>
                    </pic:cNvPicPr>
                  </pic:nvPicPr>
                  <pic:blipFill>
                    <a:blip r:embed="rId14"/>
                    <a:stretch>
                      <a:fillRect/>
                    </a:stretch>
                  </pic:blipFill>
                  <pic:spPr>
                    <a:xfrm>
                      <a:off x="0" y="0"/>
                      <a:ext cx="6419850" cy="1533525"/>
                    </a:xfrm>
                    <a:prstGeom prst="rect">
                      <a:avLst/>
                    </a:prstGeom>
                    <a:noFill/>
                    <a:ln>
                      <a:noFill/>
                    </a:ln>
                  </pic:spPr>
                </pic:pic>
              </a:graphicData>
            </a:graphic>
          </wp:inline>
        </w:drawing>
      </w:r>
    </w:p>
    <w:p w14:paraId="7F08E1A7">
      <w:pPr>
        <w:pStyle w:val="4"/>
        <w:ind w:left="1859"/>
        <w:rPr>
          <w:rFonts w:ascii="Times New Roman"/>
          <w:sz w:val="20"/>
        </w:rPr>
      </w:pPr>
    </w:p>
    <w:p w14:paraId="7BBA2737">
      <w:pPr>
        <w:jc w:val="center"/>
        <w:rPr>
          <w:rFonts w:ascii="Times New Roman"/>
          <w:sz w:val="20"/>
        </w:rPr>
        <w:sectPr>
          <w:pgSz w:w="11910" w:h="16840"/>
          <w:pgMar w:top="1560" w:right="0" w:bottom="1080" w:left="0" w:header="0" w:footer="895" w:gutter="0"/>
          <w:cols w:space="720" w:num="1"/>
        </w:sectPr>
      </w:pPr>
      <w:r>
        <w:drawing>
          <wp:inline distT="0" distB="0" distL="114300" distR="114300">
            <wp:extent cx="7652385" cy="902970"/>
            <wp:effectExtent l="0" t="0" r="5715" b="11430"/>
            <wp:docPr id="2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pic:cNvPicPr>
                      <a:picLocks noChangeAspect="1"/>
                    </pic:cNvPicPr>
                  </pic:nvPicPr>
                  <pic:blipFill>
                    <a:blip r:embed="rId15"/>
                    <a:stretch>
                      <a:fillRect/>
                    </a:stretch>
                  </pic:blipFill>
                  <pic:spPr>
                    <a:xfrm>
                      <a:off x="0" y="0"/>
                      <a:ext cx="7652385" cy="902970"/>
                    </a:xfrm>
                    <a:prstGeom prst="rect">
                      <a:avLst/>
                    </a:prstGeom>
                    <a:noFill/>
                    <a:ln>
                      <a:noFill/>
                    </a:ln>
                  </pic:spPr>
                </pic:pic>
              </a:graphicData>
            </a:graphic>
          </wp:inline>
        </w:drawing>
      </w:r>
    </w:p>
    <w:p w14:paraId="48865ED0">
      <w:pPr>
        <w:pStyle w:val="4"/>
        <w:rPr>
          <w:rFonts w:ascii="Times New Roman"/>
          <w:sz w:val="20"/>
        </w:rPr>
      </w:pPr>
      <w:r>
        <mc:AlternateContent>
          <mc:Choice Requires="wps">
            <w:drawing>
              <wp:anchor distT="0" distB="0" distL="114300" distR="114300" simplePos="0" relativeHeight="251667456" behindDoc="0" locked="0" layoutInCell="1" allowOverlap="1">
                <wp:simplePos x="0" y="0"/>
                <wp:positionH relativeFrom="page">
                  <wp:posOffset>0</wp:posOffset>
                </wp:positionH>
                <wp:positionV relativeFrom="page">
                  <wp:posOffset>4201160</wp:posOffset>
                </wp:positionV>
                <wp:extent cx="7559675" cy="25400"/>
                <wp:effectExtent l="0" t="0" r="3175" b="3175"/>
                <wp:wrapNone/>
                <wp:docPr id="17" name="矩形 17"/>
                <wp:cNvGraphicFramePr/>
                <a:graphic xmlns:a="http://schemas.openxmlformats.org/drawingml/2006/main">
                  <a:graphicData uri="http://schemas.microsoft.com/office/word/2010/wordprocessingShape">
                    <wps:wsp>
                      <wps:cNvSpPr/>
                      <wps:spPr>
                        <a:xfrm>
                          <a:off x="0" y="0"/>
                          <a:ext cx="7559675" cy="25400"/>
                        </a:xfrm>
                        <a:prstGeom prst="rect">
                          <a:avLst/>
                        </a:prstGeom>
                        <a:solidFill>
                          <a:srgbClr val="385D89"/>
                        </a:solidFill>
                        <a:ln>
                          <a:noFill/>
                        </a:ln>
                      </wps:spPr>
                      <wps:bodyPr upright="1"/>
                    </wps:wsp>
                  </a:graphicData>
                </a:graphic>
              </wp:anchor>
            </w:drawing>
          </mc:Choice>
          <mc:Fallback>
            <w:pict>
              <v:rect id="_x0000_s1026" o:spid="_x0000_s1026" o:spt="1" style="position:absolute;left:0pt;margin-left:0pt;margin-top:330.8pt;height:2pt;width:595.25pt;mso-position-horizontal-relative:page;mso-position-vertical-relative:page;z-index:251667456;mso-width-relative:page;mso-height-relative:page;" fillcolor="#385D89" filled="t" stroked="f" coordsize="21600,21600" o:gfxdata="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aL/+nWAAAACQEAAA8AAAAAAAAAAQAgAAAAIgAAAGRycy9kb3ducmV2LnhtbFBLAQIUABQAAAAI&#10;AIdO4kByIa1FtgEAAGADAAAOAAAAAAAAAAEAIAAAACUBAABkcnMvZTJvRG9jLnhtbFBLBQYAAAAA&#10;BgAGAFkBAABNBQAAAAA=&#10;">
                <v:fill on="t" focussize="0,0"/>
                <v:stroke on="f"/>
                <v:imagedata o:title=""/>
                <o:lock v:ext="edit" aspectratio="f"/>
              </v:rect>
            </w:pict>
          </mc:Fallback>
        </mc:AlternateContent>
      </w:r>
      <w:r>
        <mc:AlternateContent>
          <mc:Choice Requires="wps">
            <w:drawing>
              <wp:anchor distT="0" distB="0" distL="114300" distR="114300" simplePos="0" relativeHeight="251668480" behindDoc="0" locked="0" layoutInCell="1" allowOverlap="1">
                <wp:simplePos x="0" y="0"/>
                <wp:positionH relativeFrom="page">
                  <wp:posOffset>0</wp:posOffset>
                </wp:positionH>
                <wp:positionV relativeFrom="page">
                  <wp:posOffset>6113780</wp:posOffset>
                </wp:positionV>
                <wp:extent cx="7559675" cy="25400"/>
                <wp:effectExtent l="0" t="0" r="3175" b="3175"/>
                <wp:wrapNone/>
                <wp:docPr id="19" name="矩形 19"/>
                <wp:cNvGraphicFramePr/>
                <a:graphic xmlns:a="http://schemas.openxmlformats.org/drawingml/2006/main">
                  <a:graphicData uri="http://schemas.microsoft.com/office/word/2010/wordprocessingShape">
                    <wps:wsp>
                      <wps:cNvSpPr/>
                      <wps:spPr>
                        <a:xfrm>
                          <a:off x="0" y="0"/>
                          <a:ext cx="7559675" cy="25400"/>
                        </a:xfrm>
                        <a:prstGeom prst="rect">
                          <a:avLst/>
                        </a:prstGeom>
                        <a:solidFill>
                          <a:srgbClr val="385D89"/>
                        </a:solidFill>
                        <a:ln>
                          <a:noFill/>
                        </a:ln>
                      </wps:spPr>
                      <wps:bodyPr upright="1"/>
                    </wps:wsp>
                  </a:graphicData>
                </a:graphic>
              </wp:anchor>
            </w:drawing>
          </mc:Choice>
          <mc:Fallback>
            <w:pict>
              <v:rect id="_x0000_s1026" o:spid="_x0000_s1026" o:spt="1" style="position:absolute;left:0pt;margin-left:0pt;margin-top:481.4pt;height:2pt;width:595.25pt;mso-position-horizontal-relative:page;mso-position-vertical-relative:page;z-index:251668480;mso-width-relative:page;mso-height-relative:page;" fillcolor="#385D89" filled="t" stroked="f" coordsize="21600,21600" o:gfxdata="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RSxYp1gAAAAkBAAAPAAAAAAAAAAEAIAAAACIAAABkcnMvZG93bnJldi54bWxQSwECFAAUAAAA&#10;CACHTuJAl/nvk7cBAABgAwAADgAAAAAAAAABACAAAAAlAQAAZHJzL2Uyb0RvYy54bWxQSwUGAAAA&#10;AAYABgBZAQAATgUAAAAA&#10;">
                <v:fill on="t" focussize="0,0"/>
                <v:stroke on="f"/>
                <v:imagedata o:title=""/>
                <o:lock v:ext="edit" aspectratio="f"/>
              </v:rect>
            </w:pict>
          </mc:Fallback>
        </mc:AlternateContent>
      </w:r>
    </w:p>
    <w:p w14:paraId="51647AA5">
      <w:pPr>
        <w:pStyle w:val="4"/>
        <w:rPr>
          <w:rFonts w:ascii="Times New Roman"/>
          <w:sz w:val="20"/>
        </w:rPr>
      </w:pPr>
    </w:p>
    <w:p w14:paraId="66FFF8FD">
      <w:pPr>
        <w:pStyle w:val="4"/>
        <w:rPr>
          <w:rFonts w:ascii="Times New Roman"/>
          <w:sz w:val="20"/>
        </w:rPr>
      </w:pPr>
    </w:p>
    <w:p w14:paraId="1D46A31B">
      <w:pPr>
        <w:pStyle w:val="4"/>
        <w:rPr>
          <w:rFonts w:ascii="Times New Roman"/>
          <w:sz w:val="20"/>
        </w:rPr>
      </w:pPr>
    </w:p>
    <w:p w14:paraId="169CC81E">
      <w:pPr>
        <w:pStyle w:val="4"/>
        <w:rPr>
          <w:rFonts w:ascii="Times New Roman"/>
          <w:sz w:val="20"/>
        </w:rPr>
      </w:pPr>
    </w:p>
    <w:p w14:paraId="1EEA0CB6">
      <w:pPr>
        <w:pStyle w:val="4"/>
        <w:rPr>
          <w:rFonts w:ascii="Times New Roman"/>
          <w:sz w:val="20"/>
        </w:rPr>
      </w:pPr>
    </w:p>
    <w:p w14:paraId="07FAF69C">
      <w:pPr>
        <w:pStyle w:val="4"/>
        <w:rPr>
          <w:rFonts w:ascii="Times New Roman"/>
          <w:sz w:val="20"/>
        </w:rPr>
      </w:pPr>
    </w:p>
    <w:p w14:paraId="717B1A12">
      <w:pPr>
        <w:pStyle w:val="4"/>
        <w:rPr>
          <w:rFonts w:ascii="Times New Roman"/>
          <w:sz w:val="20"/>
        </w:rPr>
      </w:pPr>
    </w:p>
    <w:p w14:paraId="023E3387">
      <w:pPr>
        <w:pStyle w:val="4"/>
        <w:rPr>
          <w:rFonts w:ascii="Times New Roman"/>
          <w:sz w:val="20"/>
        </w:rPr>
      </w:pPr>
    </w:p>
    <w:p w14:paraId="45F7C471">
      <w:pPr>
        <w:pStyle w:val="4"/>
        <w:rPr>
          <w:rFonts w:ascii="Times New Roman"/>
          <w:sz w:val="20"/>
        </w:rPr>
      </w:pPr>
    </w:p>
    <w:p w14:paraId="6B7C0526">
      <w:pPr>
        <w:pStyle w:val="4"/>
        <w:rPr>
          <w:rFonts w:ascii="Times New Roman"/>
          <w:sz w:val="20"/>
        </w:rPr>
      </w:pPr>
    </w:p>
    <w:p w14:paraId="4D313B57">
      <w:pPr>
        <w:pStyle w:val="4"/>
        <w:rPr>
          <w:rFonts w:ascii="Times New Roman"/>
          <w:sz w:val="20"/>
        </w:rPr>
      </w:pPr>
    </w:p>
    <w:p w14:paraId="7973AE0A">
      <w:pPr>
        <w:pStyle w:val="4"/>
        <w:rPr>
          <w:rFonts w:ascii="Times New Roman"/>
          <w:sz w:val="20"/>
        </w:rPr>
      </w:pPr>
    </w:p>
    <w:p w14:paraId="786A79B8">
      <w:pPr>
        <w:pStyle w:val="4"/>
        <w:rPr>
          <w:rFonts w:ascii="Times New Roman"/>
          <w:sz w:val="20"/>
        </w:rPr>
      </w:pPr>
    </w:p>
    <w:p w14:paraId="63AD684C">
      <w:pPr>
        <w:pStyle w:val="4"/>
        <w:rPr>
          <w:rFonts w:ascii="Times New Roman"/>
          <w:sz w:val="20"/>
        </w:rPr>
      </w:pPr>
    </w:p>
    <w:p w14:paraId="7991F9A3">
      <w:pPr>
        <w:pStyle w:val="4"/>
        <w:rPr>
          <w:rFonts w:ascii="Times New Roman"/>
          <w:sz w:val="20"/>
        </w:rPr>
      </w:pPr>
    </w:p>
    <w:p w14:paraId="37CBC995">
      <w:pPr>
        <w:pStyle w:val="4"/>
        <w:rPr>
          <w:rFonts w:ascii="Times New Roman"/>
          <w:sz w:val="20"/>
        </w:rPr>
      </w:pPr>
    </w:p>
    <w:p w14:paraId="1676A043">
      <w:pPr>
        <w:pStyle w:val="4"/>
        <w:rPr>
          <w:rFonts w:ascii="Times New Roman"/>
          <w:sz w:val="20"/>
        </w:rPr>
      </w:pPr>
    </w:p>
    <w:p w14:paraId="40E874EB">
      <w:pPr>
        <w:pStyle w:val="4"/>
        <w:rPr>
          <w:rFonts w:ascii="Times New Roman"/>
          <w:sz w:val="20"/>
        </w:rPr>
      </w:pPr>
    </w:p>
    <w:p w14:paraId="104BC249">
      <w:pPr>
        <w:pStyle w:val="4"/>
        <w:rPr>
          <w:rFonts w:ascii="Times New Roman"/>
          <w:sz w:val="20"/>
        </w:rPr>
      </w:pPr>
    </w:p>
    <w:p w14:paraId="595523A9">
      <w:pPr>
        <w:pStyle w:val="4"/>
        <w:rPr>
          <w:rFonts w:ascii="Times New Roman"/>
          <w:sz w:val="20"/>
        </w:rPr>
      </w:pPr>
    </w:p>
    <w:p w14:paraId="6C7408C8">
      <w:pPr>
        <w:pStyle w:val="4"/>
        <w:spacing w:before="9" w:after="1"/>
        <w:rPr>
          <w:rFonts w:ascii="Times New Roman"/>
          <w:sz w:val="19"/>
        </w:rPr>
      </w:pPr>
    </w:p>
    <w:p w14:paraId="1162C3C3">
      <w:pPr>
        <w:pStyle w:val="4"/>
        <w:ind w:right="-58"/>
        <w:rPr>
          <w:rFonts w:ascii="Times New Roman"/>
          <w:sz w:val="20"/>
        </w:rPr>
      </w:pPr>
      <w:r>
        <w:rPr>
          <w:rFonts w:ascii="Times New Roman"/>
          <w:sz w:val="20"/>
        </w:rPr>
        <mc:AlternateContent>
          <mc:Choice Requires="wps">
            <w:drawing>
              <wp:inline distT="0" distB="0" distL="114300" distR="114300">
                <wp:extent cx="7560310" cy="1887220"/>
                <wp:effectExtent l="0" t="0" r="2540" b="17780"/>
                <wp:docPr id="20" name="文本框 20"/>
                <wp:cNvGraphicFramePr/>
                <a:graphic xmlns:a="http://schemas.openxmlformats.org/drawingml/2006/main">
                  <a:graphicData uri="http://schemas.microsoft.com/office/word/2010/wordprocessingShape">
                    <wps:wsp>
                      <wps:cNvSpPr txBox="1"/>
                      <wps:spPr>
                        <a:xfrm>
                          <a:off x="0" y="0"/>
                          <a:ext cx="7560310" cy="1887220"/>
                        </a:xfrm>
                        <a:prstGeom prst="rect">
                          <a:avLst/>
                        </a:prstGeom>
                        <a:solidFill>
                          <a:srgbClr val="94B3D6"/>
                        </a:solidFill>
                        <a:ln>
                          <a:noFill/>
                        </a:ln>
                      </wps:spPr>
                      <wps:txbx>
                        <w:txbxContent>
                          <w:p w14:paraId="228BE6E7">
                            <w:pPr>
                              <w:tabs>
                                <w:tab w:val="left" w:pos="2378"/>
                              </w:tabs>
                              <w:spacing w:before="21" w:line="947" w:lineRule="exact"/>
                              <w:ind w:left="31"/>
                              <w:jc w:val="center"/>
                              <w:rPr>
                                <w:rFonts w:hint="eastAsia" w:ascii="Microsoft JhengHei" w:eastAsia="Microsoft JhengHei"/>
                                <w:b/>
                                <w:sz w:val="52"/>
                                <w:lang w:eastAsia="zh-CN"/>
                              </w:rPr>
                            </w:pPr>
                            <w:r>
                              <w:rPr>
                                <w:rFonts w:hint="eastAsia" w:ascii="Microsoft JhengHei" w:eastAsia="Microsoft JhengHei"/>
                                <w:b/>
                                <w:sz w:val="52"/>
                              </w:rPr>
                              <w:t>第三部分</w:t>
                            </w:r>
                            <w:r>
                              <w:rPr>
                                <w:rFonts w:hint="eastAsia" w:ascii="Microsoft JhengHei" w:eastAsia="Microsoft JhengHei"/>
                                <w:b/>
                                <w:sz w:val="52"/>
                              </w:rPr>
                              <w:tab/>
                            </w:r>
                            <w:r>
                              <w:rPr>
                                <w:rFonts w:hint="eastAsia" w:ascii="Microsoft JhengHei" w:eastAsia="Microsoft JhengHei"/>
                                <w:b/>
                                <w:sz w:val="52"/>
                                <w:lang w:eastAsia="zh-CN"/>
                              </w:rPr>
                              <w:t>玉田县消防救援大队</w:t>
                            </w:r>
                          </w:p>
                          <w:p w14:paraId="7652C8C9">
                            <w:pPr>
                              <w:tabs>
                                <w:tab w:val="left" w:pos="2378"/>
                              </w:tabs>
                              <w:spacing w:before="21" w:line="947" w:lineRule="exact"/>
                              <w:ind w:left="31"/>
                              <w:jc w:val="center"/>
                              <w:rPr>
                                <w:rFonts w:hint="eastAsia" w:ascii="Microsoft JhengHei" w:eastAsia="Microsoft JhengHei"/>
                                <w:b/>
                                <w:sz w:val="52"/>
                              </w:rPr>
                            </w:pPr>
                            <w:r>
                              <w:rPr>
                                <w:rFonts w:hint="eastAsia" w:ascii="Microsoft JhengHei" w:eastAsia="Microsoft JhengHei"/>
                                <w:b/>
                                <w:sz w:val="52"/>
                              </w:rPr>
                              <w:t>202</w:t>
                            </w:r>
                            <w:r>
                              <w:rPr>
                                <w:rFonts w:hint="eastAsia" w:ascii="Microsoft JhengHei" w:eastAsia="Microsoft JhengHei"/>
                                <w:b/>
                                <w:sz w:val="52"/>
                                <w:lang w:val="en-US" w:eastAsia="zh-CN"/>
                              </w:rPr>
                              <w:t>3</w:t>
                            </w:r>
                            <w:r>
                              <w:rPr>
                                <w:rFonts w:hint="eastAsia" w:ascii="Microsoft JhengHei" w:eastAsia="Microsoft JhengHei"/>
                                <w:b/>
                                <w:sz w:val="52"/>
                              </w:rPr>
                              <w:t xml:space="preserve"> 年度部门决算情况说明</w:t>
                            </w:r>
                          </w:p>
                        </w:txbxContent>
                      </wps:txbx>
                      <wps:bodyPr lIns="0" tIns="0" rIns="0" bIns="0" upright="1"/>
                    </wps:wsp>
                  </a:graphicData>
                </a:graphic>
              </wp:inline>
            </w:drawing>
          </mc:Choice>
          <mc:Fallback>
            <w:pict>
              <v:shape id="_x0000_s1026" o:spid="_x0000_s1026" o:spt="202" type="#_x0000_t202" style="height:148.6pt;width:595.3pt;" fillcolor="#94B3D6" filled="t" stroked="f" coordsize="21600,21600" o:gfxdata="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VDpxXVAAAABgEAAA8AAAAAAAAAAQAgAAAA&#10;IgAAAGRycy9kb3ducmV2LnhtbFBLAQIUABQAAAAIAIdO4kCPxNnY1QEAAJ4DAAAOAAAAAAAAAAEA&#10;IAAAACQBAABkcnMvZTJvRG9jLnhtbFBLBQYAAAAABgAGAFkBAABrBQAAAAA=&#10;">
                <v:fill on="t" focussize="0,0"/>
                <v:stroke on="f"/>
                <v:imagedata o:title=""/>
                <o:lock v:ext="edit" aspectratio="f"/>
                <v:textbox inset="0mm,0mm,0mm,0mm">
                  <w:txbxContent>
                    <w:p w14:paraId="228BE6E7">
                      <w:pPr>
                        <w:tabs>
                          <w:tab w:val="left" w:pos="2378"/>
                        </w:tabs>
                        <w:spacing w:before="21" w:line="947" w:lineRule="exact"/>
                        <w:ind w:left="31"/>
                        <w:jc w:val="center"/>
                        <w:rPr>
                          <w:rFonts w:hint="eastAsia" w:ascii="Microsoft JhengHei" w:eastAsia="Microsoft JhengHei"/>
                          <w:b/>
                          <w:sz w:val="52"/>
                          <w:lang w:eastAsia="zh-CN"/>
                        </w:rPr>
                      </w:pPr>
                      <w:r>
                        <w:rPr>
                          <w:rFonts w:hint="eastAsia" w:ascii="Microsoft JhengHei" w:eastAsia="Microsoft JhengHei"/>
                          <w:b/>
                          <w:sz w:val="52"/>
                        </w:rPr>
                        <w:t>第三部分</w:t>
                      </w:r>
                      <w:r>
                        <w:rPr>
                          <w:rFonts w:hint="eastAsia" w:ascii="Microsoft JhengHei" w:eastAsia="Microsoft JhengHei"/>
                          <w:b/>
                          <w:sz w:val="52"/>
                        </w:rPr>
                        <w:tab/>
                      </w:r>
                      <w:r>
                        <w:rPr>
                          <w:rFonts w:hint="eastAsia" w:ascii="Microsoft JhengHei" w:eastAsia="Microsoft JhengHei"/>
                          <w:b/>
                          <w:sz w:val="52"/>
                          <w:lang w:eastAsia="zh-CN"/>
                        </w:rPr>
                        <w:t>玉田县消防救援大队</w:t>
                      </w:r>
                    </w:p>
                    <w:p w14:paraId="7652C8C9">
                      <w:pPr>
                        <w:tabs>
                          <w:tab w:val="left" w:pos="2378"/>
                        </w:tabs>
                        <w:spacing w:before="21" w:line="947" w:lineRule="exact"/>
                        <w:ind w:left="31"/>
                        <w:jc w:val="center"/>
                        <w:rPr>
                          <w:rFonts w:hint="eastAsia" w:ascii="Microsoft JhengHei" w:eastAsia="Microsoft JhengHei"/>
                          <w:b/>
                          <w:sz w:val="52"/>
                        </w:rPr>
                      </w:pPr>
                      <w:r>
                        <w:rPr>
                          <w:rFonts w:hint="eastAsia" w:ascii="Microsoft JhengHei" w:eastAsia="Microsoft JhengHei"/>
                          <w:b/>
                          <w:sz w:val="52"/>
                        </w:rPr>
                        <w:t>202</w:t>
                      </w:r>
                      <w:r>
                        <w:rPr>
                          <w:rFonts w:hint="eastAsia" w:ascii="Microsoft JhengHei" w:eastAsia="Microsoft JhengHei"/>
                          <w:b/>
                          <w:sz w:val="52"/>
                          <w:lang w:val="en-US" w:eastAsia="zh-CN"/>
                        </w:rPr>
                        <w:t>3</w:t>
                      </w:r>
                      <w:r>
                        <w:rPr>
                          <w:rFonts w:hint="eastAsia" w:ascii="Microsoft JhengHei" w:eastAsia="Microsoft JhengHei"/>
                          <w:b/>
                          <w:sz w:val="52"/>
                        </w:rPr>
                        <w:t xml:space="preserve"> 年度部门决算情况说明</w:t>
                      </w:r>
                    </w:p>
                  </w:txbxContent>
                </v:textbox>
                <w10:wrap type="none"/>
                <w10:anchorlock/>
              </v:shape>
            </w:pict>
          </mc:Fallback>
        </mc:AlternateContent>
      </w:r>
    </w:p>
    <w:p w14:paraId="09871A82">
      <w:pPr>
        <w:rPr>
          <w:rFonts w:ascii="Times New Roman"/>
          <w:sz w:val="20"/>
        </w:rPr>
        <w:sectPr>
          <w:pgSz w:w="11910" w:h="16840"/>
          <w:pgMar w:top="1580" w:right="0" w:bottom="1080" w:left="0" w:header="0" w:footer="895" w:gutter="0"/>
          <w:cols w:space="720" w:num="1"/>
        </w:sectPr>
      </w:pPr>
    </w:p>
    <w:p w14:paraId="229B11E7">
      <w:pPr>
        <w:pStyle w:val="4"/>
        <w:spacing w:line="530" w:lineRule="exact"/>
        <w:ind w:left="2440"/>
      </w:pPr>
      <w:r>
        <w:rPr>
          <w:rFonts w:hint="eastAsia" w:ascii="黑体" w:hAnsi="黑体" w:eastAsia="黑体" w:cs="黑体"/>
        </w:rPr>
        <w:t>一、收入支出决算总体情况说明</w:t>
      </w:r>
    </w:p>
    <w:p w14:paraId="340AB50A">
      <w:pPr>
        <w:pStyle w:val="4"/>
        <w:keepNext w:val="0"/>
        <w:keepLines w:val="0"/>
        <w:pageBreakBefore w:val="0"/>
        <w:widowControl w:val="0"/>
        <w:kinsoku/>
        <w:wordWrap/>
        <w:overflowPunct/>
        <w:topLinePunct w:val="0"/>
        <w:autoSpaceDE w:val="0"/>
        <w:autoSpaceDN w:val="0"/>
        <w:bidi w:val="0"/>
        <w:adjustRightInd/>
        <w:snapToGrid/>
        <w:spacing w:before="67" w:line="269" w:lineRule="auto"/>
        <w:ind w:left="1803" w:right="1123"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玉田县消防救援大队收入总计</w:t>
      </w:r>
      <w:r>
        <w:rPr>
          <w:rFonts w:hint="eastAsia" w:ascii="仿宋_GB2312" w:hAnsi="仿宋_GB2312" w:eastAsia="仿宋_GB2312" w:cs="仿宋_GB2312"/>
          <w:sz w:val="32"/>
          <w:szCs w:val="32"/>
          <w:lang w:val="en-US" w:eastAsia="zh-CN"/>
        </w:rPr>
        <w:t>1181.87</w:t>
      </w:r>
      <w:r>
        <w:rPr>
          <w:rFonts w:hint="eastAsia" w:ascii="仿宋_GB2312" w:hAnsi="仿宋_GB2312" w:eastAsia="仿宋_GB2312" w:cs="仿宋_GB2312"/>
          <w:sz w:val="32"/>
          <w:szCs w:val="32"/>
          <w:lang w:eastAsia="zh-CN"/>
        </w:rPr>
        <w:t>万元，支出</w:t>
      </w:r>
      <w:r>
        <w:rPr>
          <w:rFonts w:hint="eastAsia" w:ascii="仿宋_GB2312" w:hAnsi="仿宋_GB2312" w:eastAsia="仿宋_GB2312" w:cs="仿宋_GB2312"/>
          <w:sz w:val="32"/>
          <w:szCs w:val="32"/>
          <w:lang w:val="en-US" w:eastAsia="zh-CN"/>
        </w:rPr>
        <w:t>2281.87万元，</w:t>
      </w:r>
      <w:r>
        <w:rPr>
          <w:rFonts w:hint="eastAsia" w:ascii="仿宋_GB2312" w:hAnsi="仿宋_GB2312" w:eastAsia="仿宋_GB2312" w:cs="仿宋_GB2312"/>
          <w:sz w:val="32"/>
          <w:szCs w:val="32"/>
          <w:lang w:eastAsia="zh-CN"/>
        </w:rPr>
        <w:t>与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年度相比，收入增加</w:t>
      </w:r>
      <w:r>
        <w:rPr>
          <w:rFonts w:hint="eastAsia" w:ascii="仿宋_GB2312" w:hAnsi="仿宋_GB2312" w:eastAsia="仿宋_GB2312" w:cs="仿宋_GB2312"/>
          <w:sz w:val="32"/>
          <w:szCs w:val="32"/>
          <w:lang w:val="en-US" w:eastAsia="zh-CN"/>
        </w:rPr>
        <w:t>214.93万元，</w:t>
      </w:r>
      <w:r>
        <w:rPr>
          <w:rFonts w:hint="eastAsia" w:ascii="仿宋_GB2312" w:hAnsi="仿宋_GB2312" w:eastAsia="仿宋_GB2312" w:cs="仿宋_GB2312"/>
          <w:sz w:val="32"/>
          <w:szCs w:val="32"/>
          <w:lang w:eastAsia="zh-CN"/>
        </w:rPr>
        <w:t>支出增加</w:t>
      </w:r>
      <w:r>
        <w:rPr>
          <w:rFonts w:hint="eastAsia" w:ascii="仿宋_GB2312" w:hAnsi="仿宋_GB2312" w:eastAsia="仿宋_GB2312" w:cs="仿宋_GB2312"/>
          <w:sz w:val="32"/>
          <w:szCs w:val="32"/>
          <w:lang w:val="en-US" w:eastAsia="zh-CN"/>
        </w:rPr>
        <w:t>214.93万元</w:t>
      </w:r>
      <w:r>
        <w:rPr>
          <w:rFonts w:hint="eastAsia" w:ascii="仿宋_GB2312" w:hAnsi="仿宋_GB2312" w:eastAsia="仿宋_GB2312" w:cs="仿宋_GB2312"/>
          <w:sz w:val="32"/>
          <w:szCs w:val="32"/>
          <w:lang w:eastAsia="zh-CN"/>
        </w:rPr>
        <w:t>，上升</w:t>
      </w:r>
      <w:r>
        <w:rPr>
          <w:rFonts w:hint="eastAsia" w:ascii="仿宋_GB2312" w:hAnsi="仿宋_GB2312" w:eastAsia="仿宋_GB2312" w:cs="仿宋_GB2312"/>
          <w:sz w:val="32"/>
          <w:szCs w:val="32"/>
          <w:lang w:val="en-US" w:eastAsia="zh-CN"/>
        </w:rPr>
        <w:t>22.22</w:t>
      </w:r>
      <w:r>
        <w:rPr>
          <w:rFonts w:hint="eastAsia" w:ascii="仿宋_GB2312" w:hAnsi="仿宋_GB2312" w:eastAsia="仿宋_GB2312" w:cs="仿宋_GB2312"/>
          <w:sz w:val="32"/>
          <w:szCs w:val="32"/>
          <w:lang w:eastAsia="zh-CN"/>
        </w:rPr>
        <w:t>%，主要是原因新招录消防队员到位执勤，人员经费增加。</w:t>
      </w:r>
    </w:p>
    <w:p w14:paraId="1CE3E5F4">
      <w:pPr>
        <w:pStyle w:val="4"/>
        <w:keepNext w:val="0"/>
        <w:keepLines w:val="0"/>
        <w:pageBreakBefore w:val="0"/>
        <w:widowControl w:val="0"/>
        <w:kinsoku/>
        <w:wordWrap/>
        <w:overflowPunct/>
        <w:topLinePunct w:val="0"/>
        <w:autoSpaceDE w:val="0"/>
        <w:autoSpaceDN w:val="0"/>
        <w:bidi w:val="0"/>
        <w:adjustRightInd/>
        <w:snapToGrid/>
        <w:spacing w:before="67" w:line="269" w:lineRule="auto"/>
        <w:ind w:left="1803" w:right="1123" w:firstLine="640" w:firstLineChars="200"/>
        <w:textAlignment w:val="auto"/>
        <w:rPr>
          <w:rFonts w:hint="eastAsia" w:ascii="仿宋_GB2312" w:hAnsi="仿宋_GB2312" w:eastAsia="仿宋_GB2312" w:cs="仿宋_GB2312"/>
          <w:sz w:val="32"/>
          <w:szCs w:val="32"/>
          <w:lang w:eastAsia="zh-CN"/>
        </w:rPr>
      </w:pPr>
    </w:p>
    <w:p w14:paraId="6E1162A4">
      <w:pPr>
        <w:pStyle w:val="4"/>
        <w:keepNext w:val="0"/>
        <w:keepLines w:val="0"/>
        <w:pageBreakBefore w:val="0"/>
        <w:widowControl w:val="0"/>
        <w:kinsoku/>
        <w:wordWrap/>
        <w:overflowPunct/>
        <w:topLinePunct w:val="0"/>
        <w:autoSpaceDE w:val="0"/>
        <w:autoSpaceDN w:val="0"/>
        <w:bidi w:val="0"/>
        <w:adjustRightInd/>
        <w:snapToGrid/>
        <w:spacing w:before="67" w:line="269" w:lineRule="auto"/>
        <w:ind w:left="1803" w:right="1123"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二、收入决算情况说明</w:t>
      </w:r>
    </w:p>
    <w:p w14:paraId="59E4F611">
      <w:pPr>
        <w:pStyle w:val="4"/>
        <w:keepNext w:val="0"/>
        <w:keepLines w:val="0"/>
        <w:pageBreakBefore w:val="0"/>
        <w:widowControl w:val="0"/>
        <w:kinsoku/>
        <w:wordWrap/>
        <w:overflowPunct/>
        <w:topLinePunct w:val="0"/>
        <w:autoSpaceDE w:val="0"/>
        <w:autoSpaceDN w:val="0"/>
        <w:bidi w:val="0"/>
        <w:adjustRightInd/>
        <w:snapToGrid/>
        <w:spacing w:before="67" w:line="269" w:lineRule="auto"/>
        <w:ind w:left="1803" w:right="1123"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本年收入合计</w:t>
      </w:r>
      <w:r>
        <w:rPr>
          <w:rFonts w:hint="eastAsia" w:ascii="仿宋_GB2312" w:hAnsi="仿宋_GB2312" w:eastAsia="仿宋_GB2312" w:cs="仿宋_GB2312"/>
          <w:sz w:val="32"/>
          <w:szCs w:val="32"/>
          <w:lang w:val="en-US" w:eastAsia="zh-CN"/>
        </w:rPr>
        <w:t>1181.87</w:t>
      </w:r>
      <w:r>
        <w:rPr>
          <w:rFonts w:hint="eastAsia" w:ascii="仿宋_GB2312" w:hAnsi="仿宋_GB2312" w:eastAsia="仿宋_GB2312" w:cs="仿宋_GB2312"/>
          <w:sz w:val="32"/>
          <w:szCs w:val="32"/>
          <w:lang w:eastAsia="zh-CN"/>
        </w:rPr>
        <w:t>万元，其中：财政拨款收入</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万元，财政上年结转</w:t>
      </w:r>
      <w:r>
        <w:rPr>
          <w:rFonts w:hint="eastAsia" w:ascii="仿宋_GB2312" w:hAnsi="仿宋_GB2312" w:eastAsia="仿宋_GB2312" w:cs="仿宋_GB2312"/>
          <w:sz w:val="32"/>
          <w:szCs w:val="32"/>
          <w:lang w:val="en-US" w:eastAsia="zh-CN"/>
        </w:rPr>
        <w:t>0.74万元，共计11.74万，</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lang w:val="en-US" w:eastAsia="zh-CN"/>
        </w:rPr>
        <w:t>0.93</w:t>
      </w:r>
      <w:r>
        <w:rPr>
          <w:rFonts w:hint="eastAsia" w:ascii="仿宋_GB2312" w:hAnsi="仿宋_GB2312" w:eastAsia="仿宋_GB2312" w:cs="仿宋_GB2312"/>
          <w:sz w:val="32"/>
          <w:szCs w:val="32"/>
          <w:lang w:eastAsia="zh-CN"/>
        </w:rPr>
        <w:t xml:space="preserve">%；其他收入 </w:t>
      </w:r>
      <w:r>
        <w:rPr>
          <w:rFonts w:hint="eastAsia" w:ascii="仿宋_GB2312" w:hAnsi="仿宋_GB2312" w:eastAsia="仿宋_GB2312" w:cs="仿宋_GB2312"/>
          <w:sz w:val="32"/>
          <w:szCs w:val="32"/>
          <w:lang w:val="en-US" w:eastAsia="zh-CN"/>
        </w:rPr>
        <w:t>1170.87</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99.07</w:t>
      </w:r>
      <w:r>
        <w:rPr>
          <w:rFonts w:hint="eastAsia" w:ascii="仿宋_GB2312" w:hAnsi="仿宋_GB2312" w:eastAsia="仿宋_GB2312" w:cs="仿宋_GB2312"/>
          <w:sz w:val="32"/>
          <w:szCs w:val="32"/>
          <w:lang w:eastAsia="zh-CN"/>
        </w:rPr>
        <w:t>%。</w:t>
      </w:r>
    </w:p>
    <w:p w14:paraId="40010A9B">
      <w:pPr>
        <w:spacing w:before="28"/>
        <w:ind w:left="305"/>
        <w:jc w:val="center"/>
        <w:rPr>
          <w:rFonts w:hint="eastAsia" w:ascii="仿宋_GB2312" w:hAnsi="仿宋_GB2312" w:eastAsia="仿宋_GB2312" w:cs="仿宋_GB2312"/>
          <w:sz w:val="32"/>
          <w:szCs w:val="32"/>
        </w:rPr>
      </w:pPr>
    </w:p>
    <w:p w14:paraId="285C2C6F">
      <w:pPr>
        <w:spacing w:before="28"/>
        <w:ind w:left="305"/>
        <w:jc w:val="center"/>
        <w:rPr>
          <w:rFonts w:hint="eastAsia" w:ascii="仿宋_GB2312" w:hAnsi="仿宋_GB2312" w:eastAsia="仿宋_GB2312" w:cs="仿宋_GB2312"/>
          <w:sz w:val="32"/>
          <w:szCs w:val="32"/>
        </w:rPr>
      </w:pPr>
    </w:p>
    <w:p w14:paraId="69D8BFA0">
      <w:pPr>
        <w:spacing w:before="28"/>
        <w:ind w:left="305"/>
        <w:jc w:val="center"/>
        <w:rPr>
          <w:rFonts w:hint="eastAsia" w:ascii="仿宋_GB2312" w:hAnsi="仿宋_GB2312" w:eastAsia="仿宋_GB2312" w:cs="仿宋_GB2312"/>
          <w:sz w:val="32"/>
          <w:szCs w:val="32"/>
        </w:rPr>
      </w:pPr>
    </w:p>
    <w:p w14:paraId="094779A6">
      <w:pPr>
        <w:spacing w:before="28"/>
        <w:ind w:left="305"/>
        <w:jc w:val="center"/>
        <w:rPr>
          <w:rFonts w:hint="eastAsia" w:ascii="仿宋_GB2312" w:hAnsi="仿宋_GB2312" w:eastAsia="仿宋_GB2312" w:cs="仿宋_GB2312"/>
          <w:sz w:val="32"/>
          <w:szCs w:val="32"/>
        </w:rPr>
      </w:pPr>
    </w:p>
    <w:p w14:paraId="169BB017">
      <w:pPr>
        <w:spacing w:before="28"/>
        <w:ind w:left="305"/>
        <w:jc w:val="center"/>
        <w:rPr>
          <w:rFonts w:hint="eastAsia" w:ascii="仿宋_GB2312" w:hAnsi="仿宋_GB2312" w:eastAsia="仿宋_GB2312" w:cs="仿宋_GB2312"/>
          <w:sz w:val="32"/>
          <w:szCs w:val="32"/>
        </w:rPr>
      </w:pPr>
    </w:p>
    <w:p w14:paraId="70DC603B">
      <w:pPr>
        <w:spacing w:before="28"/>
        <w:ind w:left="305"/>
        <w:jc w:val="center"/>
        <w:rPr>
          <w:rFonts w:hint="eastAsia" w:ascii="仿宋_GB2312" w:hAnsi="仿宋_GB2312" w:eastAsia="仿宋_GB2312" w:cs="仿宋_GB2312"/>
          <w:sz w:val="32"/>
          <w:szCs w:val="32"/>
        </w:rPr>
      </w:pPr>
    </w:p>
    <w:p w14:paraId="5CDDF23A">
      <w:pPr>
        <w:spacing w:before="28"/>
        <w:ind w:left="305"/>
        <w:jc w:val="center"/>
        <w:rPr>
          <w:rFonts w:hint="eastAsia" w:ascii="仿宋_GB2312" w:hAnsi="仿宋_GB2312" w:eastAsia="仿宋_GB2312" w:cs="仿宋_GB2312"/>
          <w:sz w:val="32"/>
          <w:szCs w:val="32"/>
        </w:rPr>
      </w:pPr>
    </w:p>
    <w:p w14:paraId="14E0446D">
      <w:pPr>
        <w:spacing w:before="28"/>
        <w:ind w:left="305"/>
        <w:jc w:val="center"/>
        <w:rPr>
          <w:rFonts w:hint="eastAsia" w:ascii="仿宋_GB2312" w:hAnsi="仿宋_GB2312" w:eastAsia="仿宋_GB2312" w:cs="仿宋_GB2312"/>
          <w:sz w:val="32"/>
          <w:szCs w:val="32"/>
        </w:rPr>
      </w:pPr>
    </w:p>
    <w:p w14:paraId="647048A1">
      <w:pPr>
        <w:spacing w:before="28"/>
        <w:ind w:left="305"/>
        <w:jc w:val="center"/>
        <w:rPr>
          <w:rFonts w:hint="eastAsia" w:ascii="仿宋_GB2312" w:hAnsi="仿宋_GB2312" w:eastAsia="仿宋_GB2312" w:cs="仿宋_GB2312"/>
          <w:sz w:val="32"/>
          <w:szCs w:val="32"/>
        </w:rPr>
      </w:pPr>
    </w:p>
    <w:p w14:paraId="544BAF81">
      <w:pPr>
        <w:spacing w:before="28"/>
        <w:ind w:left="305"/>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图 2：收入决算</w:t>
      </w:r>
    </w:p>
    <w:p w14:paraId="30F18A77">
      <w:pPr>
        <w:jc w:val="center"/>
        <w:rPr>
          <w:rFonts w:hint="eastAsia" w:eastAsia="Arial Unicode MS"/>
          <w:sz w:val="28"/>
          <w:lang w:eastAsia="zh-CN"/>
        </w:rPr>
      </w:pPr>
    </w:p>
    <w:p w14:paraId="1042312D">
      <w:pPr>
        <w:jc w:val="center"/>
        <w:rPr>
          <w:sz w:val="28"/>
        </w:rPr>
        <w:sectPr>
          <w:pgSz w:w="11910" w:h="16840"/>
          <w:pgMar w:top="1480" w:right="0" w:bottom="1160" w:left="0" w:header="0" w:footer="895" w:gutter="0"/>
          <w:cols w:space="720" w:num="1"/>
        </w:sectPr>
      </w:pPr>
      <w:r>
        <w:drawing>
          <wp:inline distT="0" distB="0" distL="114300" distR="114300">
            <wp:extent cx="4826000" cy="274320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0A89AE6">
      <w:pPr>
        <w:pStyle w:val="4"/>
        <w:spacing w:line="524" w:lineRule="exact"/>
        <w:ind w:left="2440"/>
      </w:pPr>
      <w:r>
        <w:rPr>
          <w:rFonts w:hint="eastAsia" w:ascii="黑体" w:hAnsi="黑体" w:eastAsia="黑体" w:cs="黑体"/>
        </w:rPr>
        <w:t>三、支出决算情况说明</w:t>
      </w:r>
    </w:p>
    <w:p w14:paraId="428C6B58">
      <w:pPr>
        <w:pStyle w:val="4"/>
        <w:spacing w:before="14" w:line="216" w:lineRule="auto"/>
        <w:ind w:left="1800" w:right="1284"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本年支出合计 </w:t>
      </w:r>
      <w:r>
        <w:rPr>
          <w:rFonts w:hint="eastAsia" w:ascii="仿宋_GB2312" w:hAnsi="仿宋" w:eastAsia="仿宋_GB2312" w:cs="Times New Roman"/>
          <w:sz w:val="32"/>
          <w:szCs w:val="32"/>
          <w:lang w:val="en-US" w:eastAsia="zh-CN"/>
        </w:rPr>
        <w:t>1182.61</w:t>
      </w:r>
      <w:r>
        <w:rPr>
          <w:rFonts w:hint="eastAsia" w:ascii="仿宋_GB2312" w:hAnsi="仿宋_GB2312" w:eastAsia="仿宋_GB2312" w:cs="仿宋_GB2312"/>
          <w:sz w:val="32"/>
          <w:szCs w:val="32"/>
        </w:rPr>
        <w:t>万元，其中：基本支出</w:t>
      </w:r>
      <w:r>
        <w:rPr>
          <w:rFonts w:hint="eastAsia" w:ascii="仿宋_GB2312" w:hAnsi="仿宋" w:eastAsia="仿宋_GB2312" w:cs="Times New Roman"/>
          <w:sz w:val="32"/>
          <w:szCs w:val="32"/>
          <w:lang w:val="en-US" w:eastAsia="zh-CN"/>
        </w:rPr>
        <w:t>3.5</w:t>
      </w:r>
      <w:r>
        <w:rPr>
          <w:rFonts w:hint="eastAsia" w:ascii="仿宋_GB2312" w:hAnsi="仿宋_GB2312" w:eastAsia="仿宋_GB2312" w:cs="仿宋_GB2312"/>
          <w:sz w:val="32"/>
          <w:szCs w:val="32"/>
        </w:rPr>
        <w:t xml:space="preserve">万元，占 </w:t>
      </w:r>
      <w:r>
        <w:rPr>
          <w:rFonts w:hint="eastAsia" w:ascii="仿宋_GB2312" w:hAnsi="仿宋_GB2312" w:eastAsia="仿宋_GB2312" w:cs="仿宋_GB2312"/>
          <w:sz w:val="32"/>
          <w:szCs w:val="32"/>
          <w:lang w:val="en-US" w:eastAsia="zh-CN"/>
        </w:rPr>
        <w:t>0.30</w:t>
      </w:r>
      <w:r>
        <w:rPr>
          <w:rFonts w:hint="eastAsia" w:ascii="仿宋_GB2312" w:hAnsi="仿宋_GB2312" w:eastAsia="仿宋_GB2312" w:cs="仿宋_GB2312"/>
          <w:sz w:val="32"/>
          <w:szCs w:val="32"/>
        </w:rPr>
        <w:t xml:space="preserve">%；项目支出 </w:t>
      </w:r>
      <w:r>
        <w:rPr>
          <w:rFonts w:hint="eastAsia" w:ascii="仿宋_GB2312" w:hAnsi="仿宋" w:eastAsia="仿宋_GB2312" w:cs="Times New Roman"/>
          <w:sz w:val="32"/>
          <w:szCs w:val="32"/>
          <w:lang w:val="en-US" w:eastAsia="zh-CN"/>
        </w:rPr>
        <w:t>1179.11</w:t>
      </w:r>
      <w:r>
        <w:rPr>
          <w:rFonts w:hint="eastAsia" w:ascii="仿宋_GB2312" w:hAnsi="仿宋_GB2312" w:eastAsia="仿宋_GB2312" w:cs="仿宋_GB2312"/>
          <w:sz w:val="32"/>
          <w:szCs w:val="32"/>
        </w:rPr>
        <w:t>万元，</w:t>
      </w:r>
      <w:r>
        <w:rPr>
          <w:rFonts w:hint="eastAsia" w:ascii="仿宋_GB2312" w:hAnsi="仿宋" w:eastAsia="仿宋_GB2312" w:cs="Times New Roman"/>
          <w:sz w:val="32"/>
          <w:szCs w:val="32"/>
          <w:lang w:val="en-US" w:eastAsia="zh-CN"/>
        </w:rPr>
        <w:t>占99.70%</w:t>
      </w:r>
    </w:p>
    <w:p w14:paraId="0A412773">
      <w:pPr>
        <w:spacing w:before="5" w:after="7"/>
        <w:ind w:left="305"/>
        <w:jc w:val="center"/>
        <w:rPr>
          <w:sz w:val="28"/>
        </w:rPr>
      </w:pPr>
      <w:r>
        <w:rPr>
          <w:rFonts w:hint="eastAsia" w:ascii="仿宋_GB2312" w:hAnsi="仿宋_GB2312" w:eastAsia="仿宋_GB2312" w:cs="仿宋_GB2312"/>
          <w:sz w:val="32"/>
          <w:szCs w:val="32"/>
        </w:rPr>
        <w:t>图 3：支出决算</w:t>
      </w:r>
    </w:p>
    <w:p w14:paraId="60B30F5B">
      <w:pPr>
        <w:pStyle w:val="4"/>
        <w:ind w:left="2084"/>
        <w:jc w:val="both"/>
        <w:rPr>
          <w:sz w:val="20"/>
        </w:rPr>
      </w:pPr>
      <w:r>
        <w:rPr>
          <w:rFonts w:hint="eastAsia"/>
          <w:lang w:val="en-US" w:eastAsia="zh-CN"/>
        </w:rPr>
        <w:t xml:space="preserve">   </w:t>
      </w:r>
      <w:r>
        <w:drawing>
          <wp:inline distT="0" distB="0" distL="114300" distR="114300">
            <wp:extent cx="4159885" cy="2686050"/>
            <wp:effectExtent l="4445" t="4445" r="7620" b="1460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454672D">
      <w:pPr>
        <w:pStyle w:val="4"/>
        <w:spacing w:before="20" w:line="549" w:lineRule="exact"/>
        <w:ind w:left="2438"/>
      </w:pPr>
      <w:r>
        <w:rPr>
          <w:rFonts w:hint="eastAsia" w:ascii="黑体" w:hAnsi="黑体" w:eastAsia="黑体" w:cs="黑体"/>
        </w:rPr>
        <w:t>四、财政拨款收入支出决算总体情况说明</w:t>
      </w:r>
    </w:p>
    <w:p w14:paraId="0ADE0300">
      <w:pPr>
        <w:pStyle w:val="4"/>
        <w:keepNext w:val="0"/>
        <w:keepLines w:val="0"/>
        <w:pageBreakBefore w:val="0"/>
        <w:widowControl w:val="0"/>
        <w:kinsoku/>
        <w:wordWrap/>
        <w:overflowPunct/>
        <w:topLinePunct w:val="0"/>
        <w:autoSpaceDE w:val="0"/>
        <w:autoSpaceDN w:val="0"/>
        <w:bidi w:val="0"/>
        <w:adjustRightInd/>
        <w:snapToGrid/>
        <w:spacing w:before="14" w:line="216" w:lineRule="auto"/>
        <w:ind w:left="1803" w:leftChars="0" w:right="1276" w:rightChars="0" w:firstLine="641"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年度财政拨款收</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，支出总计</w:t>
      </w:r>
      <w:r>
        <w:rPr>
          <w:rFonts w:hint="eastAsia" w:ascii="仿宋_GB2312" w:hAnsi="仿宋_GB2312" w:eastAsia="仿宋_GB2312" w:cs="仿宋_GB2312"/>
          <w:sz w:val="32"/>
          <w:szCs w:val="32"/>
          <w:lang w:val="en-US" w:eastAsia="zh-CN"/>
        </w:rPr>
        <w:t>11.74万元</w:t>
      </w:r>
      <w:r>
        <w:rPr>
          <w:rFonts w:hint="eastAsia" w:ascii="仿宋_GB2312" w:hAnsi="仿宋_GB2312" w:eastAsia="仿宋_GB2312" w:cs="仿宋_GB2312"/>
          <w:sz w:val="32"/>
          <w:szCs w:val="32"/>
        </w:rPr>
        <w:t>。与202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pacing w:val="-13"/>
          <w:sz w:val="32"/>
          <w:szCs w:val="32"/>
        </w:rPr>
        <w:t>年度相比，财政拨款</w:t>
      </w:r>
      <w:r>
        <w:rPr>
          <w:rFonts w:hint="eastAsia" w:ascii="仿宋_GB2312" w:hAnsi="仿宋_GB2312" w:eastAsia="仿宋_GB2312" w:cs="仿宋_GB2312"/>
          <w:spacing w:val="-13"/>
          <w:sz w:val="32"/>
          <w:szCs w:val="32"/>
          <w:lang w:eastAsia="zh-CN"/>
        </w:rPr>
        <w:t>收入</w:t>
      </w:r>
      <w:r>
        <w:rPr>
          <w:rFonts w:hint="eastAsia" w:ascii="仿宋_GB2312" w:hAnsi="仿宋_GB2312" w:eastAsia="仿宋_GB2312" w:cs="仿宋_GB2312"/>
          <w:spacing w:val="-13"/>
          <w:sz w:val="32"/>
          <w:szCs w:val="32"/>
        </w:rPr>
        <w:t>总计</w:t>
      </w:r>
      <w:r>
        <w:rPr>
          <w:rFonts w:hint="eastAsia" w:ascii="仿宋_GB2312" w:hAnsi="仿宋_GB2312" w:eastAsia="仿宋_GB2312" w:cs="仿宋_GB2312"/>
          <w:spacing w:val="-13"/>
          <w:sz w:val="32"/>
          <w:szCs w:val="32"/>
          <w:lang w:eastAsia="zh-CN"/>
        </w:rPr>
        <w:t>下降</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z w:val="32"/>
          <w:szCs w:val="32"/>
          <w:lang w:val="en-US" w:eastAsia="zh-CN"/>
        </w:rPr>
        <w:t>2.49</w:t>
      </w:r>
      <w:r>
        <w:rPr>
          <w:rFonts w:hint="eastAsia" w:ascii="仿宋_GB2312" w:hAnsi="仿宋_GB2312" w:eastAsia="仿宋_GB2312" w:cs="仿宋_GB2312"/>
          <w:spacing w:val="-13"/>
          <w:sz w:val="32"/>
          <w:szCs w:val="32"/>
        </w:rPr>
        <w:t>万元，</w:t>
      </w:r>
      <w:r>
        <w:rPr>
          <w:rFonts w:hint="eastAsia" w:ascii="仿宋_GB2312" w:hAnsi="仿宋_GB2312" w:eastAsia="仿宋_GB2312" w:cs="仿宋_GB2312"/>
          <w:spacing w:val="-13"/>
          <w:sz w:val="32"/>
          <w:szCs w:val="32"/>
          <w:lang w:eastAsia="zh-CN"/>
        </w:rPr>
        <w:t>下降</w:t>
      </w:r>
      <w:r>
        <w:rPr>
          <w:rFonts w:hint="eastAsia" w:ascii="仿宋_GB2312" w:hAnsi="仿宋_GB2312" w:eastAsia="仿宋_GB2312" w:cs="仿宋_GB2312"/>
          <w:spacing w:val="-13"/>
          <w:sz w:val="32"/>
          <w:szCs w:val="32"/>
          <w:lang w:val="en-US" w:eastAsia="zh-CN"/>
        </w:rPr>
        <w:t>17.50</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年初财政拨款结转和结余减少。</w:t>
      </w:r>
    </w:p>
    <w:p w14:paraId="73AD211B">
      <w:pPr>
        <w:spacing w:before="36"/>
        <w:ind w:left="3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 4：财政拨款收、支决算总计变动情况</w:t>
      </w:r>
    </w:p>
    <w:p w14:paraId="13B34949">
      <w:pPr>
        <w:spacing w:before="53"/>
        <w:ind w:left="4879"/>
        <w:rPr>
          <w:sz w:val="28"/>
        </w:rPr>
      </w:pPr>
      <w:r>
        <w:rPr>
          <w:rFonts w:hint="eastAsia" w:ascii="仿宋_GB2312" w:hAnsi="仿宋_GB2312" w:eastAsia="仿宋_GB2312" w:cs="仿宋_GB2312"/>
          <w:sz w:val="32"/>
          <w:szCs w:val="32"/>
        </w:rPr>
        <w:t>（单位：万元）</w:t>
      </w:r>
    </w:p>
    <w:p w14:paraId="5806E9BA">
      <w:pPr>
        <w:rPr>
          <w:sz w:val="28"/>
        </w:rPr>
      </w:pPr>
    </w:p>
    <w:p w14:paraId="05489FFF">
      <w:pPr>
        <w:jc w:val="center"/>
        <w:rPr>
          <w:rFonts w:hint="eastAsia" w:eastAsia="Arial Unicode MS"/>
          <w:sz w:val="28"/>
          <w:lang w:eastAsia="zh-CN"/>
        </w:rPr>
        <w:sectPr>
          <w:pgSz w:w="11910" w:h="16840"/>
          <w:pgMar w:top="1480" w:right="0" w:bottom="1160" w:left="0" w:header="0" w:footer="895" w:gutter="0"/>
          <w:cols w:space="720" w:num="1"/>
        </w:sectPr>
      </w:pPr>
      <w:r>
        <w:rPr>
          <w:rFonts w:hint="eastAsia"/>
          <w:lang w:val="en-US" w:eastAsia="zh-CN"/>
        </w:rPr>
        <w:t xml:space="preserve"> </w:t>
      </w:r>
      <w:r>
        <w:rPr>
          <w:rFonts w:hint="eastAsia" w:eastAsia="Arial Unicode MS"/>
          <w:sz w:val="28"/>
          <w:lang w:eastAsia="zh-CN"/>
        </w:rPr>
        <w:drawing>
          <wp:inline distT="0" distB="0" distL="114300" distR="114300">
            <wp:extent cx="5256530" cy="2988310"/>
            <wp:effectExtent l="5080" t="4445" r="15240"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921B35E">
      <w:pPr>
        <w:pStyle w:val="4"/>
        <w:spacing w:line="531" w:lineRule="exact"/>
        <w:ind w:left="2440"/>
      </w:pPr>
      <w:r>
        <w:rPr>
          <w:rFonts w:hint="eastAsia" w:ascii="黑体" w:hAnsi="黑体" w:eastAsia="黑体" w:cs="黑体"/>
        </w:rPr>
        <w:t>五、一般公共预算财政拨款支出决算情况说明</w:t>
      </w:r>
    </w:p>
    <w:p w14:paraId="22C84641">
      <w:pPr>
        <w:pStyle w:val="3"/>
        <w:spacing w:before="22" w:line="240" w:lineRule="auto"/>
      </w:pPr>
      <w:r>
        <w:rPr>
          <w:rFonts w:hint="eastAsia" w:ascii="华文楷体" w:hAnsi="华文楷体" w:eastAsia="华文楷体" w:cstheme="minorBidi"/>
          <w:b w:val="0"/>
          <w:bCs w:val="0"/>
          <w:kern w:val="2"/>
          <w:sz w:val="32"/>
          <w:szCs w:val="32"/>
          <w:lang w:val="en-US" w:eastAsia="zh-CN" w:bidi="ar-SA"/>
        </w:rPr>
        <w:t>（一）财政拨款支出决算总体情况</w:t>
      </w:r>
    </w:p>
    <w:p w14:paraId="6BE04093">
      <w:pPr>
        <w:pStyle w:val="4"/>
        <w:keepNext w:val="0"/>
        <w:keepLines w:val="0"/>
        <w:pageBreakBefore w:val="0"/>
        <w:widowControl w:val="0"/>
        <w:kinsoku/>
        <w:wordWrap/>
        <w:overflowPunct/>
        <w:topLinePunct w:val="0"/>
        <w:autoSpaceDE w:val="0"/>
        <w:autoSpaceDN w:val="0"/>
        <w:bidi w:val="0"/>
        <w:adjustRightInd/>
        <w:snapToGrid/>
        <w:spacing w:before="14" w:line="216" w:lineRule="auto"/>
        <w:ind w:left="1803" w:leftChars="0" w:right="1276" w:rightChars="0" w:firstLine="641" w:firstLineChars="0"/>
        <w:jc w:val="both"/>
        <w:textAlignment w:val="auto"/>
        <w:rPr>
          <w:rFonts w:hint="eastAsia" w:ascii="仿宋_GB2312" w:hAnsi="仿宋_GB2312" w:eastAsia="仿宋_GB2312" w:cs="仿宋_GB2312"/>
          <w:spacing w:val="-13"/>
          <w:sz w:val="32"/>
          <w:szCs w:val="32"/>
        </w:rPr>
      </w:pPr>
      <w:r>
        <w:rPr>
          <w:rFonts w:hint="eastAsia" w:ascii="仿宋_GB2312" w:hAnsi="仿宋_GB2312" w:eastAsia="仿宋_GB2312" w:cs="仿宋_GB2312"/>
          <w:spacing w:val="-13"/>
          <w:sz w:val="32"/>
          <w:szCs w:val="32"/>
        </w:rPr>
        <w:t>20</w:t>
      </w:r>
      <w:r>
        <w:rPr>
          <w:rFonts w:hint="eastAsia" w:ascii="仿宋_GB2312" w:hAnsi="仿宋_GB2312" w:eastAsia="仿宋_GB2312" w:cs="仿宋_GB2312"/>
          <w:spacing w:val="-13"/>
          <w:sz w:val="32"/>
          <w:szCs w:val="32"/>
          <w:lang w:val="en-US" w:eastAsia="zh-CN"/>
        </w:rPr>
        <w:t>23</w:t>
      </w:r>
      <w:r>
        <w:rPr>
          <w:rFonts w:hint="eastAsia" w:ascii="仿宋_GB2312" w:hAnsi="仿宋_GB2312" w:eastAsia="仿宋_GB2312" w:cs="仿宋_GB2312"/>
          <w:spacing w:val="-13"/>
          <w:sz w:val="32"/>
          <w:szCs w:val="32"/>
        </w:rPr>
        <w:t xml:space="preserve"> 年度财政拨款支出</w:t>
      </w:r>
      <w:r>
        <w:rPr>
          <w:rFonts w:hint="eastAsia" w:ascii="仿宋_GB2312" w:hAnsi="仿宋_GB2312" w:eastAsia="仿宋_GB2312" w:cs="仿宋_GB2312"/>
          <w:spacing w:val="-13"/>
          <w:sz w:val="32"/>
          <w:szCs w:val="32"/>
          <w:lang w:val="en-US" w:eastAsia="zh-CN"/>
        </w:rPr>
        <w:t>11.74</w:t>
      </w:r>
      <w:r>
        <w:rPr>
          <w:rFonts w:hint="eastAsia" w:ascii="仿宋_GB2312" w:hAnsi="仿宋_GB2312" w:eastAsia="仿宋_GB2312" w:cs="仿宋_GB2312"/>
          <w:spacing w:val="-13"/>
          <w:sz w:val="32"/>
          <w:szCs w:val="32"/>
        </w:rPr>
        <w:t>万元，占本年支出</w:t>
      </w:r>
      <w:r>
        <w:rPr>
          <w:rFonts w:hint="eastAsia" w:ascii="仿宋_GB2312" w:hAnsi="仿宋_GB2312" w:eastAsia="仿宋_GB2312" w:cs="仿宋_GB2312"/>
          <w:spacing w:val="-13"/>
          <w:sz w:val="32"/>
          <w:szCs w:val="32"/>
          <w:lang w:val="en-US" w:eastAsia="zh-CN"/>
        </w:rPr>
        <w:t>0.1</w:t>
      </w:r>
      <w:r>
        <w:rPr>
          <w:rFonts w:hint="eastAsia" w:ascii="仿宋_GB2312" w:hAnsi="仿宋_GB2312" w:eastAsia="仿宋_GB2312" w:cs="仿宋_GB2312"/>
          <w:spacing w:val="-13"/>
          <w:sz w:val="32"/>
          <w:szCs w:val="32"/>
        </w:rPr>
        <w:t>%。与 202</w:t>
      </w:r>
      <w:r>
        <w:rPr>
          <w:rFonts w:hint="eastAsia" w:ascii="仿宋_GB2312" w:hAnsi="仿宋_GB2312" w:eastAsia="仿宋_GB2312" w:cs="仿宋_GB2312"/>
          <w:spacing w:val="-13"/>
          <w:sz w:val="32"/>
          <w:szCs w:val="32"/>
          <w:lang w:val="en-US" w:eastAsia="zh-CN"/>
        </w:rPr>
        <w:t>2</w:t>
      </w:r>
      <w:r>
        <w:rPr>
          <w:rFonts w:hint="eastAsia" w:ascii="仿宋_GB2312" w:hAnsi="仿宋_GB2312" w:eastAsia="仿宋_GB2312" w:cs="仿宋_GB2312"/>
          <w:spacing w:val="-13"/>
          <w:sz w:val="32"/>
          <w:szCs w:val="32"/>
        </w:rPr>
        <w:t>年度相比，财政拨款支出</w:t>
      </w:r>
      <w:r>
        <w:rPr>
          <w:rFonts w:hint="eastAsia" w:ascii="仿宋_GB2312" w:hAnsi="仿宋_GB2312" w:eastAsia="仿宋_GB2312" w:cs="仿宋_GB2312"/>
          <w:spacing w:val="-13"/>
          <w:sz w:val="32"/>
          <w:szCs w:val="32"/>
          <w:lang w:val="en-US" w:eastAsia="zh-CN"/>
        </w:rPr>
        <w:t>减少1.75</w:t>
      </w:r>
      <w:r>
        <w:rPr>
          <w:rFonts w:hint="eastAsia" w:ascii="仿宋_GB2312" w:hAnsi="仿宋_GB2312" w:eastAsia="仿宋_GB2312" w:cs="仿宋_GB2312"/>
          <w:spacing w:val="-13"/>
          <w:sz w:val="32"/>
          <w:szCs w:val="32"/>
        </w:rPr>
        <w:t>万元，</w:t>
      </w:r>
      <w:r>
        <w:rPr>
          <w:rFonts w:hint="eastAsia" w:ascii="仿宋_GB2312" w:hAnsi="仿宋_GB2312" w:eastAsia="仿宋_GB2312" w:cs="仿宋_GB2312"/>
          <w:spacing w:val="-13"/>
          <w:sz w:val="32"/>
          <w:szCs w:val="32"/>
          <w:lang w:val="en-US" w:eastAsia="zh-CN"/>
        </w:rPr>
        <w:t>下降12.97</w:t>
      </w:r>
      <w:r>
        <w:rPr>
          <w:rFonts w:hint="eastAsia" w:ascii="仿宋_GB2312" w:hAnsi="仿宋_GB2312" w:eastAsia="仿宋_GB2312" w:cs="仿宋_GB2312"/>
          <w:spacing w:val="-13"/>
          <w:sz w:val="32"/>
          <w:szCs w:val="32"/>
        </w:rPr>
        <w:t>%，主要原因</w:t>
      </w:r>
      <w:r>
        <w:rPr>
          <w:rFonts w:hint="eastAsia" w:ascii="仿宋_GB2312" w:hAnsi="仿宋_GB2312" w:eastAsia="仿宋_GB2312" w:cs="仿宋_GB2312"/>
          <w:spacing w:val="-13"/>
          <w:sz w:val="32"/>
          <w:szCs w:val="32"/>
          <w:lang w:eastAsia="zh-CN"/>
        </w:rPr>
        <w:t>是</w:t>
      </w:r>
      <w:r>
        <w:rPr>
          <w:rFonts w:hint="eastAsia" w:ascii="仿宋_GB2312" w:hAnsi="仿宋_GB2312" w:eastAsia="仿宋_GB2312" w:cs="仿宋_GB2312"/>
          <w:sz w:val="32"/>
          <w:szCs w:val="32"/>
          <w:lang w:eastAsia="zh-CN"/>
        </w:rPr>
        <w:t>年初财政拨款结转和结余减少。</w:t>
      </w:r>
    </w:p>
    <w:p w14:paraId="1FBC8C08">
      <w:pPr>
        <w:spacing w:before="50"/>
        <w:ind w:left="403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 5：财政拨款支出决算变动情况</w:t>
      </w:r>
    </w:p>
    <w:p w14:paraId="0A5AB51C">
      <w:pPr>
        <w:spacing w:before="53"/>
        <w:ind w:left="487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（单位：万元）</w:t>
      </w:r>
    </w:p>
    <w:p w14:paraId="064A1125">
      <w:pPr>
        <w:spacing w:before="134"/>
        <w:ind w:left="713"/>
        <w:jc w:val="center"/>
      </w:pPr>
    </w:p>
    <w:p w14:paraId="63A763CF">
      <w:pPr>
        <w:spacing w:before="134"/>
        <w:ind w:left="713"/>
        <w:jc w:val="center"/>
      </w:pPr>
    </w:p>
    <w:p w14:paraId="22A32333">
      <w:pPr>
        <w:spacing w:before="134"/>
        <w:ind w:left="713"/>
        <w:jc w:val="center"/>
      </w:pPr>
    </w:p>
    <w:p w14:paraId="18F36699">
      <w:pPr>
        <w:spacing w:before="134"/>
        <w:ind w:left="713"/>
        <w:jc w:val="center"/>
      </w:pPr>
    </w:p>
    <w:p w14:paraId="2EA58DAA">
      <w:pPr>
        <w:spacing w:before="134"/>
        <w:ind w:left="713"/>
        <w:jc w:val="center"/>
      </w:pPr>
      <w:r>
        <w:rPr>
          <w:rFonts w:hint="eastAsia" w:eastAsia="Arial Unicode MS"/>
          <w:lang w:eastAsia="zh-CN"/>
        </w:rPr>
        <w:drawing>
          <wp:inline distT="0" distB="0" distL="114300" distR="114300">
            <wp:extent cx="5256530" cy="2988310"/>
            <wp:effectExtent l="5080" t="4445" r="15240" b="17145"/>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957417A">
      <w:pPr>
        <w:spacing w:before="134"/>
        <w:ind w:left="713"/>
        <w:jc w:val="center"/>
      </w:pPr>
    </w:p>
    <w:p w14:paraId="7B802F44">
      <w:pPr>
        <w:spacing w:before="134"/>
        <w:ind w:left="713"/>
        <w:jc w:val="center"/>
      </w:pPr>
      <w:bookmarkStart w:id="0" w:name="_GoBack"/>
      <w:bookmarkEnd w:id="0"/>
    </w:p>
    <w:p w14:paraId="75065CE8">
      <w:pPr>
        <w:spacing w:before="134"/>
        <w:ind w:left="713"/>
        <w:jc w:val="center"/>
        <w:rPr>
          <w:rFonts w:hint="eastAsia" w:eastAsia="Arial Unicode MS"/>
          <w:lang w:eastAsia="zh-CN"/>
        </w:rPr>
      </w:pPr>
    </w:p>
    <w:p w14:paraId="4D7B19BD">
      <w:pPr>
        <w:pStyle w:val="3"/>
        <w:spacing w:line="240" w:lineRule="auto"/>
      </w:pPr>
      <w:r>
        <w:rPr>
          <w:rFonts w:hint="eastAsia" w:ascii="华文楷体" w:hAnsi="华文楷体" w:eastAsia="华文楷体" w:cstheme="minorBidi"/>
          <w:b w:val="0"/>
          <w:bCs w:val="0"/>
          <w:kern w:val="2"/>
          <w:sz w:val="32"/>
          <w:szCs w:val="32"/>
          <w:lang w:val="en-US" w:eastAsia="zh-CN" w:bidi="ar-SA"/>
        </w:rPr>
        <w:t>（二）财政拨款支出决算结构情况</w:t>
      </w:r>
    </w:p>
    <w:p w14:paraId="65FC6D09">
      <w:pPr>
        <w:spacing w:before="75" w:line="254" w:lineRule="auto"/>
        <w:ind w:left="1800" w:right="1125" w:firstLine="640"/>
        <w:rPr>
          <w:sz w:val="32"/>
        </w:rPr>
        <w:sectPr>
          <w:pgSz w:w="11910" w:h="16840"/>
          <w:pgMar w:top="1560" w:right="0" w:bottom="1160" w:left="0" w:header="0" w:footer="895" w:gutter="0"/>
          <w:cols w:space="720" w:num="1"/>
        </w:sectPr>
      </w:pPr>
      <w:r>
        <w:rPr>
          <w:rFonts w:hint="eastAsia" w:ascii="仿宋_GB2312" w:hAnsi="仿宋_GB2312" w:eastAsia="仿宋_GB2312" w:cs="仿宋_GB2312"/>
          <w:sz w:val="32"/>
          <w:szCs w:val="32"/>
        </w:rPr>
        <w:t>20</w:t>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pacing w:val="-2"/>
          <w:sz w:val="32"/>
          <w:szCs w:val="32"/>
        </w:rPr>
        <w:t>年度财政拨款支出</w:t>
      </w:r>
      <w:r>
        <w:rPr>
          <w:rFonts w:hint="eastAsia" w:ascii="仿宋_GB2312" w:hAnsi="仿宋_GB2312" w:eastAsia="仿宋_GB2312" w:cs="仿宋_GB2312"/>
          <w:b w:val="0"/>
          <w:bCs w:val="0"/>
          <w:spacing w:val="-2"/>
          <w:sz w:val="32"/>
          <w:szCs w:val="32"/>
          <w:lang w:val="en-US" w:eastAsia="zh-CN"/>
        </w:rPr>
        <w:t>11.74</w:t>
      </w:r>
      <w:r>
        <w:rPr>
          <w:rFonts w:hint="eastAsia" w:ascii="仿宋_GB2312" w:hAnsi="仿宋_GB2312" w:eastAsia="仿宋_GB2312" w:cs="仿宋_GB2312"/>
          <w:b w:val="0"/>
          <w:bCs w:val="0"/>
          <w:spacing w:val="-13"/>
          <w:sz w:val="32"/>
          <w:szCs w:val="32"/>
        </w:rPr>
        <w:t xml:space="preserve">万元，主要用于以下方面： </w:t>
      </w:r>
      <w:r>
        <w:rPr>
          <w:rFonts w:hint="eastAsia" w:ascii="仿宋_GB2312" w:hAnsi="仿宋_GB2312" w:eastAsia="仿宋_GB2312" w:cs="仿宋_GB2312"/>
          <w:b w:val="0"/>
          <w:bCs w:val="0"/>
          <w:sz w:val="32"/>
          <w:szCs w:val="32"/>
        </w:rPr>
        <w:t>灾害防治及应急管理（类）支出</w:t>
      </w:r>
      <w:r>
        <w:rPr>
          <w:rFonts w:hint="eastAsia" w:ascii="仿宋_GB2312" w:hAnsi="仿宋_GB2312" w:eastAsia="仿宋_GB2312" w:cs="仿宋_GB2312"/>
          <w:b w:val="0"/>
          <w:bCs w:val="0"/>
          <w:sz w:val="32"/>
          <w:szCs w:val="32"/>
          <w:lang w:val="en-US" w:eastAsia="zh-CN"/>
        </w:rPr>
        <w:t>11.74</w:t>
      </w:r>
      <w:r>
        <w:rPr>
          <w:rFonts w:hint="eastAsia" w:ascii="仿宋_GB2312" w:hAnsi="仿宋_GB2312" w:eastAsia="仿宋_GB2312" w:cs="仿宋_GB2312"/>
          <w:spacing w:val="-2"/>
          <w:sz w:val="32"/>
          <w:szCs w:val="32"/>
        </w:rPr>
        <w:t>万元，占</w:t>
      </w:r>
      <w:r>
        <w:rPr>
          <w:rFonts w:hint="eastAsia" w:ascii="仿宋_GB2312" w:hAnsi="仿宋_GB2312" w:eastAsia="仿宋_GB2312" w:cs="仿宋_GB2312"/>
          <w:spacing w:val="-2"/>
          <w:sz w:val="32"/>
          <w:szCs w:val="32"/>
          <w:lang w:val="en-US" w:eastAsia="zh-CN"/>
        </w:rPr>
        <w:t>100</w:t>
      </w:r>
      <w:r>
        <w:rPr>
          <w:rFonts w:hint="eastAsia" w:ascii="仿宋_GB2312" w:hAnsi="仿宋_GB2312" w:eastAsia="仿宋_GB2312" w:cs="仿宋_GB2312"/>
          <w:sz w:val="32"/>
          <w:szCs w:val="32"/>
        </w:rPr>
        <w:t>%。</w:t>
      </w:r>
    </w:p>
    <w:p w14:paraId="6256202E">
      <w:pPr>
        <w:spacing w:before="15"/>
        <w:ind w:left="305"/>
        <w:jc w:val="center"/>
      </w:pPr>
    </w:p>
    <w:p w14:paraId="499F2D78">
      <w:pPr>
        <w:spacing w:before="15"/>
        <w:ind w:left="305"/>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 6：财政拨款支出决算结构</w:t>
      </w:r>
    </w:p>
    <w:p w14:paraId="261A377C">
      <w:pPr>
        <w:spacing w:before="15"/>
        <w:ind w:left="305"/>
        <w:jc w:val="center"/>
        <w:rPr>
          <w:rFonts w:hint="eastAsia" w:ascii="仿宋_GB2312" w:hAnsi="仿宋_GB2312" w:eastAsia="仿宋_GB2312" w:cs="仿宋_GB2312"/>
          <w:sz w:val="32"/>
          <w:szCs w:val="32"/>
        </w:rPr>
      </w:pPr>
      <w:r>
        <w:rPr>
          <w:lang w:val="en-US" w:bidi="ar-SA"/>
        </w:rPr>
        <w:drawing>
          <wp:inline distT="0" distB="0" distL="114300" distR="114300">
            <wp:extent cx="4123055" cy="2478405"/>
            <wp:effectExtent l="0" t="0" r="10795" b="17145"/>
            <wp:docPr id="41" name="图片 26" descr="C:\Users\Administrator\Desktop\图片5.png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6" descr="C:\Users\Administrator\Desktop\图片5.png图片5"/>
                    <pic:cNvPicPr>
                      <a:picLocks noChangeAspect="1"/>
                    </pic:cNvPicPr>
                  </pic:nvPicPr>
                  <pic:blipFill>
                    <a:blip r:embed="rId20"/>
                    <a:srcRect/>
                    <a:stretch>
                      <a:fillRect/>
                    </a:stretch>
                  </pic:blipFill>
                  <pic:spPr>
                    <a:xfrm>
                      <a:off x="0" y="0"/>
                      <a:ext cx="4123055" cy="2478405"/>
                    </a:xfrm>
                    <a:prstGeom prst="rect">
                      <a:avLst/>
                    </a:prstGeom>
                    <a:noFill/>
                    <a:ln>
                      <a:noFill/>
                    </a:ln>
                  </pic:spPr>
                </pic:pic>
              </a:graphicData>
            </a:graphic>
          </wp:inline>
        </w:drawing>
      </w:r>
    </w:p>
    <w:p w14:paraId="7F0B0D0F">
      <w:pPr>
        <w:pStyle w:val="4"/>
        <w:spacing w:before="9"/>
        <w:rPr>
          <w:sz w:val="24"/>
        </w:rPr>
      </w:pPr>
    </w:p>
    <w:p w14:paraId="194C1480">
      <w:pPr>
        <w:pStyle w:val="3"/>
        <w:spacing w:line="585" w:lineRule="exact"/>
      </w:pPr>
      <w:r>
        <w:rPr>
          <w:rFonts w:hint="eastAsia" w:ascii="华文楷体" w:hAnsi="华文楷体" w:eastAsia="华文楷体" w:cstheme="minorBidi"/>
          <w:b w:val="0"/>
          <w:bCs w:val="0"/>
          <w:kern w:val="2"/>
          <w:sz w:val="32"/>
          <w:szCs w:val="32"/>
          <w:lang w:val="en-US" w:eastAsia="zh-CN" w:bidi="ar-SA"/>
        </w:rPr>
        <w:t>（三）财政拨款支出决算具体情况</w:t>
      </w:r>
    </w:p>
    <w:p w14:paraId="4527BFB7">
      <w:pPr>
        <w:pStyle w:val="4"/>
        <w:keepNext w:val="0"/>
        <w:keepLines w:val="0"/>
        <w:pageBreakBefore w:val="0"/>
        <w:widowControl w:val="0"/>
        <w:kinsoku/>
        <w:wordWrap/>
        <w:overflowPunct/>
        <w:topLinePunct w:val="0"/>
        <w:autoSpaceDE w:val="0"/>
        <w:autoSpaceDN w:val="0"/>
        <w:bidi w:val="0"/>
        <w:adjustRightInd/>
        <w:snapToGrid/>
        <w:spacing w:before="8" w:line="255" w:lineRule="auto"/>
        <w:ind w:left="1800" w:right="1262"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 xml:space="preserve"> 年度财政拨款支出年初预算为</w:t>
      </w: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rPr>
        <w:t>万元，支出决算为</w:t>
      </w:r>
      <w:r>
        <w:rPr>
          <w:rFonts w:hint="eastAsia" w:ascii="仿宋_GB2312" w:hAnsi="仿宋_GB2312" w:eastAsia="仿宋_GB2312" w:cs="仿宋_GB2312"/>
          <w:b w:val="0"/>
          <w:bCs w:val="0"/>
          <w:spacing w:val="-2"/>
          <w:sz w:val="32"/>
          <w:szCs w:val="32"/>
          <w:lang w:val="en-US" w:eastAsia="zh-CN"/>
        </w:rPr>
        <w:t>11</w:t>
      </w:r>
      <w:r>
        <w:rPr>
          <w:rFonts w:hint="eastAsia" w:ascii="仿宋_GB2312" w:hAnsi="仿宋_GB2312" w:eastAsia="仿宋_GB2312" w:cs="仿宋_GB2312"/>
          <w:b w:val="0"/>
          <w:bCs w:val="0"/>
          <w:sz w:val="32"/>
          <w:szCs w:val="32"/>
        </w:rPr>
        <w:t>万元，完成年初预算的</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%。其中：</w:t>
      </w:r>
    </w:p>
    <w:p w14:paraId="40B384CB">
      <w:pPr>
        <w:pStyle w:val="3"/>
        <w:keepNext w:val="0"/>
        <w:keepLines w:val="0"/>
        <w:pageBreakBefore w:val="0"/>
        <w:widowControl w:val="0"/>
        <w:numPr>
          <w:ilvl w:val="0"/>
          <w:numId w:val="0"/>
        </w:numPr>
        <w:tabs>
          <w:tab w:val="left" w:pos="2681"/>
        </w:tabs>
        <w:kinsoku/>
        <w:wordWrap/>
        <w:overflowPunct/>
        <w:topLinePunct w:val="0"/>
        <w:autoSpaceDE w:val="0"/>
        <w:autoSpaceDN w:val="0"/>
        <w:bidi w:val="0"/>
        <w:adjustRightInd/>
        <w:snapToGrid/>
        <w:spacing w:line="255" w:lineRule="auto"/>
        <w:ind w:left="2439" w:lef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社会保障和就业支出（类）行政事业单位养老支出（款）</w:t>
      </w:r>
    </w:p>
    <w:p w14:paraId="7449EDC3">
      <w:pPr>
        <w:keepNext w:val="0"/>
        <w:keepLines w:val="0"/>
        <w:pageBreakBefore w:val="0"/>
        <w:widowControl w:val="0"/>
        <w:kinsoku/>
        <w:wordWrap/>
        <w:overflowPunct/>
        <w:topLinePunct w:val="0"/>
        <w:autoSpaceDE w:val="0"/>
        <w:autoSpaceDN w:val="0"/>
        <w:bidi w:val="0"/>
        <w:adjustRightInd/>
        <w:snapToGrid/>
        <w:spacing w:before="36" w:line="255" w:lineRule="auto"/>
        <w:ind w:left="356"/>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 xml:space="preserve">机关事业单位基本养老保险缴费支出（项）年初预算为 </w:t>
      </w:r>
      <w:r>
        <w:rPr>
          <w:rFonts w:hint="eastAsia" w:ascii="仿宋_GB2312" w:hAnsi="仿宋_GB2312" w:eastAsia="仿宋_GB2312" w:cs="仿宋_GB2312"/>
          <w:b w:val="0"/>
          <w:bCs w:val="0"/>
          <w:sz w:val="32"/>
          <w:szCs w:val="32"/>
          <w:lang w:val="en-US" w:eastAsia="zh-CN"/>
        </w:rPr>
        <w:t>0</w:t>
      </w:r>
    </w:p>
    <w:p w14:paraId="344F56B3">
      <w:pPr>
        <w:pStyle w:val="4"/>
        <w:keepNext w:val="0"/>
        <w:keepLines w:val="0"/>
        <w:pageBreakBefore w:val="0"/>
        <w:widowControl w:val="0"/>
        <w:kinsoku/>
        <w:wordWrap/>
        <w:overflowPunct/>
        <w:topLinePunct w:val="0"/>
        <w:autoSpaceDE w:val="0"/>
        <w:autoSpaceDN w:val="0"/>
        <w:bidi w:val="0"/>
        <w:adjustRightInd/>
        <w:snapToGrid/>
        <w:spacing w:before="67" w:line="255" w:lineRule="auto"/>
        <w:ind w:left="1800" w:right="1284"/>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12"/>
          <w:sz w:val="32"/>
          <w:szCs w:val="32"/>
        </w:rPr>
        <w:t xml:space="preserve">万元，支出决算为 </w:t>
      </w:r>
      <w:r>
        <w:rPr>
          <w:rFonts w:hint="eastAsia" w:ascii="仿宋_GB2312" w:hAnsi="仿宋_GB2312" w:eastAsia="仿宋_GB2312" w:cs="仿宋_GB2312"/>
          <w:b w:val="0"/>
          <w:bCs w:val="0"/>
          <w:sz w:val="32"/>
          <w:szCs w:val="32"/>
        </w:rPr>
        <w:t xml:space="preserve">0 </w:t>
      </w:r>
      <w:r>
        <w:rPr>
          <w:rFonts w:hint="eastAsia" w:ascii="仿宋_GB2312" w:hAnsi="仿宋_GB2312" w:eastAsia="仿宋_GB2312" w:cs="仿宋_GB2312"/>
          <w:b w:val="0"/>
          <w:bCs w:val="0"/>
          <w:spacing w:val="-9"/>
          <w:sz w:val="32"/>
          <w:szCs w:val="32"/>
        </w:rPr>
        <w:t>万元。本年无支出的原因是</w:t>
      </w:r>
      <w:r>
        <w:rPr>
          <w:rFonts w:hint="eastAsia" w:ascii="仿宋_GB2312" w:hAnsi="仿宋_GB2312" w:eastAsia="仿宋_GB2312" w:cs="仿宋_GB2312"/>
          <w:b w:val="0"/>
          <w:bCs w:val="0"/>
          <w:spacing w:val="-9"/>
          <w:sz w:val="32"/>
          <w:szCs w:val="32"/>
          <w:lang w:eastAsia="zh-CN"/>
        </w:rPr>
        <w:t>不涉及。</w:t>
      </w:r>
    </w:p>
    <w:p w14:paraId="17D3ECB8">
      <w:pPr>
        <w:pStyle w:val="3"/>
        <w:keepNext w:val="0"/>
        <w:keepLines w:val="0"/>
        <w:pageBreakBefore w:val="0"/>
        <w:widowControl w:val="0"/>
        <w:numPr>
          <w:ilvl w:val="0"/>
          <w:numId w:val="0"/>
        </w:numPr>
        <w:tabs>
          <w:tab w:val="left" w:pos="2681"/>
        </w:tabs>
        <w:kinsoku/>
        <w:wordWrap/>
        <w:overflowPunct/>
        <w:topLinePunct w:val="0"/>
        <w:autoSpaceDE w:val="0"/>
        <w:autoSpaceDN w:val="0"/>
        <w:bidi w:val="0"/>
        <w:adjustRightInd/>
        <w:snapToGrid/>
        <w:spacing w:line="255" w:lineRule="auto"/>
        <w:ind w:left="-1" w:leftChars="0" w:right="1195" w:rightChars="0"/>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社会保障和就业支出（类）行政事业单位养老支出（款）</w:t>
      </w:r>
    </w:p>
    <w:p w14:paraId="67BE55B7">
      <w:pPr>
        <w:keepNext w:val="0"/>
        <w:keepLines w:val="0"/>
        <w:pageBreakBefore w:val="0"/>
        <w:widowControl w:val="0"/>
        <w:kinsoku/>
        <w:wordWrap/>
        <w:overflowPunct/>
        <w:topLinePunct w:val="0"/>
        <w:autoSpaceDE w:val="0"/>
        <w:autoSpaceDN w:val="0"/>
        <w:bidi w:val="0"/>
        <w:adjustRightInd/>
        <w:snapToGrid/>
        <w:spacing w:before="35" w:line="255" w:lineRule="auto"/>
        <w:ind w:right="1125"/>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机关事业单位职业年金缴费支出（项）年初预算为 </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w:t>
      </w:r>
    </w:p>
    <w:p w14:paraId="51B6D9CD">
      <w:pPr>
        <w:pStyle w:val="4"/>
        <w:keepNext w:val="0"/>
        <w:keepLines w:val="0"/>
        <w:pageBreakBefore w:val="0"/>
        <w:widowControl w:val="0"/>
        <w:kinsoku/>
        <w:wordWrap/>
        <w:overflowPunct/>
        <w:topLinePunct w:val="0"/>
        <w:autoSpaceDE w:val="0"/>
        <w:autoSpaceDN w:val="0"/>
        <w:bidi w:val="0"/>
        <w:adjustRightInd/>
        <w:snapToGrid/>
        <w:spacing w:before="67" w:line="255" w:lineRule="auto"/>
        <w:ind w:left="1800" w:right="1422"/>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支出决算为 0 万元。本年无支出的原因是</w:t>
      </w:r>
      <w:r>
        <w:rPr>
          <w:rFonts w:hint="eastAsia" w:ascii="仿宋_GB2312" w:hAnsi="仿宋_GB2312" w:eastAsia="仿宋_GB2312" w:cs="仿宋_GB2312"/>
          <w:b w:val="0"/>
          <w:bCs w:val="0"/>
          <w:sz w:val="32"/>
          <w:szCs w:val="32"/>
          <w:lang w:eastAsia="zh-CN"/>
        </w:rPr>
        <w:t>不涉及。</w:t>
      </w:r>
    </w:p>
    <w:p w14:paraId="149D8912">
      <w:pPr>
        <w:pStyle w:val="3"/>
        <w:keepNext w:val="0"/>
        <w:keepLines w:val="0"/>
        <w:pageBreakBefore w:val="0"/>
        <w:widowControl w:val="0"/>
        <w:numPr>
          <w:ilvl w:val="0"/>
          <w:numId w:val="0"/>
        </w:numPr>
        <w:tabs>
          <w:tab w:val="left" w:pos="242"/>
        </w:tabs>
        <w:kinsoku/>
        <w:wordWrap/>
        <w:overflowPunct/>
        <w:topLinePunct w:val="0"/>
        <w:autoSpaceDE w:val="0"/>
        <w:autoSpaceDN w:val="0"/>
        <w:bidi w:val="0"/>
        <w:adjustRightInd/>
        <w:snapToGrid/>
        <w:spacing w:line="255" w:lineRule="auto"/>
        <w:ind w:left="-1" w:leftChars="0" w:right="1286" w:rightChars="0"/>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lang w:val="en-US" w:eastAsia="zh-CN"/>
        </w:rPr>
        <w:t>3.</w:t>
      </w:r>
      <w:r>
        <w:rPr>
          <w:rFonts w:hint="eastAsia" w:ascii="仿宋_GB2312" w:hAnsi="仿宋_GB2312" w:eastAsia="仿宋_GB2312" w:cs="仿宋_GB2312"/>
          <w:b w:val="0"/>
          <w:bCs w:val="0"/>
          <w:spacing w:val="-6"/>
          <w:sz w:val="32"/>
          <w:szCs w:val="32"/>
        </w:rPr>
        <w:t>卫生健康</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pacing w:val="-19"/>
          <w:sz w:val="32"/>
          <w:szCs w:val="32"/>
        </w:rPr>
        <w:t>）</w:t>
      </w:r>
      <w:r>
        <w:rPr>
          <w:rFonts w:hint="eastAsia" w:ascii="仿宋_GB2312" w:hAnsi="仿宋_GB2312" w:eastAsia="仿宋_GB2312" w:cs="仿宋_GB2312"/>
          <w:b w:val="0"/>
          <w:bCs w:val="0"/>
          <w:spacing w:val="-3"/>
          <w:sz w:val="32"/>
          <w:szCs w:val="32"/>
        </w:rPr>
        <w:t>行政事业单位医疗</w:t>
      </w:r>
      <w:r>
        <w:rPr>
          <w:rFonts w:hint="eastAsia" w:ascii="仿宋_GB2312" w:hAnsi="仿宋_GB2312" w:eastAsia="仿宋_GB2312" w:cs="仿宋_GB2312"/>
          <w:b w:val="0"/>
          <w:bCs w:val="0"/>
          <w:sz w:val="32"/>
          <w:szCs w:val="32"/>
        </w:rPr>
        <w:t>（款</w:t>
      </w:r>
      <w:r>
        <w:rPr>
          <w:rFonts w:hint="eastAsia" w:ascii="仿宋_GB2312" w:hAnsi="仿宋_GB2312" w:eastAsia="仿宋_GB2312" w:cs="仿宋_GB2312"/>
          <w:b w:val="0"/>
          <w:bCs w:val="0"/>
          <w:spacing w:val="-19"/>
          <w:sz w:val="32"/>
          <w:szCs w:val="32"/>
        </w:rPr>
        <w:t>）</w:t>
      </w:r>
      <w:r>
        <w:rPr>
          <w:rFonts w:hint="eastAsia" w:ascii="仿宋_GB2312" w:hAnsi="仿宋_GB2312" w:eastAsia="仿宋_GB2312" w:cs="仿宋_GB2312"/>
          <w:b w:val="0"/>
          <w:bCs w:val="0"/>
          <w:sz w:val="32"/>
          <w:szCs w:val="32"/>
        </w:rPr>
        <w:t>其他行政事业单</w:t>
      </w:r>
    </w:p>
    <w:p w14:paraId="757FA683">
      <w:pPr>
        <w:keepNext w:val="0"/>
        <w:keepLines w:val="0"/>
        <w:pageBreakBefore w:val="0"/>
        <w:widowControl w:val="0"/>
        <w:kinsoku/>
        <w:wordWrap/>
        <w:overflowPunct/>
        <w:topLinePunct w:val="0"/>
        <w:autoSpaceDE w:val="0"/>
        <w:autoSpaceDN w:val="0"/>
        <w:bidi w:val="0"/>
        <w:adjustRightInd/>
        <w:snapToGrid/>
        <w:spacing w:before="36" w:line="255" w:lineRule="auto"/>
        <w:ind w:left="18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5"/>
          <w:sz w:val="32"/>
          <w:szCs w:val="32"/>
        </w:rPr>
        <w:t>位医疗支出</w:t>
      </w:r>
      <w:r>
        <w:rPr>
          <w:rFonts w:hint="eastAsia" w:ascii="仿宋_GB2312" w:hAnsi="仿宋_GB2312" w:eastAsia="仿宋_GB2312" w:cs="仿宋_GB2312"/>
          <w:b w:val="0"/>
          <w:bCs w:val="0"/>
          <w:sz w:val="32"/>
          <w:szCs w:val="32"/>
        </w:rPr>
        <w:t>（项</w:t>
      </w:r>
      <w:r>
        <w:rPr>
          <w:rFonts w:hint="eastAsia" w:ascii="仿宋_GB2312" w:hAnsi="仿宋_GB2312" w:eastAsia="仿宋_GB2312" w:cs="仿宋_GB2312"/>
          <w:b w:val="0"/>
          <w:bCs w:val="0"/>
          <w:spacing w:val="-75"/>
          <w:sz w:val="32"/>
          <w:szCs w:val="32"/>
        </w:rPr>
        <w:t>）</w:t>
      </w:r>
      <w:r>
        <w:rPr>
          <w:rFonts w:hint="eastAsia" w:ascii="仿宋_GB2312" w:hAnsi="仿宋_GB2312" w:eastAsia="仿宋_GB2312" w:cs="仿宋_GB2312"/>
          <w:b w:val="0"/>
          <w:bCs w:val="0"/>
          <w:spacing w:val="-2"/>
          <w:sz w:val="32"/>
          <w:szCs w:val="32"/>
        </w:rPr>
        <w:t xml:space="preserve">年初预算为 </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pacing w:val="-11"/>
          <w:sz w:val="32"/>
          <w:szCs w:val="32"/>
        </w:rPr>
        <w:t>万元，支出决算为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w:t>
      </w:r>
    </w:p>
    <w:p w14:paraId="7EB9D743">
      <w:pPr>
        <w:keepNext w:val="0"/>
        <w:keepLines w:val="0"/>
        <w:pageBreakBefore w:val="0"/>
        <w:widowControl w:val="0"/>
        <w:kinsoku/>
        <w:wordWrap/>
        <w:overflowPunct/>
        <w:topLinePunct w:val="0"/>
        <w:autoSpaceDE w:val="0"/>
        <w:autoSpaceDN w:val="0"/>
        <w:bidi w:val="0"/>
        <w:adjustRightInd/>
        <w:snapToGrid/>
        <w:spacing w:line="255" w:lineRule="auto"/>
        <w:textAlignment w:val="auto"/>
        <w:rPr>
          <w:b w:val="0"/>
          <w:bCs w:val="0"/>
          <w:sz w:val="32"/>
        </w:rPr>
        <w:sectPr>
          <w:footerReference r:id="rId5" w:type="default"/>
          <w:pgSz w:w="11910" w:h="16840"/>
          <w:pgMar w:top="1580" w:right="0" w:bottom="1080" w:left="0" w:header="0" w:footer="895" w:gutter="0"/>
          <w:pgNumType w:start="20"/>
          <w:cols w:space="720" w:num="1"/>
        </w:sectPr>
      </w:pPr>
    </w:p>
    <w:p w14:paraId="79DD58DF">
      <w:pPr>
        <w:pStyle w:val="4"/>
        <w:keepNext w:val="0"/>
        <w:keepLines w:val="0"/>
        <w:pageBreakBefore w:val="0"/>
        <w:widowControl w:val="0"/>
        <w:kinsoku/>
        <w:wordWrap/>
        <w:overflowPunct/>
        <w:topLinePunct w:val="0"/>
        <w:autoSpaceDE w:val="0"/>
        <w:autoSpaceDN w:val="0"/>
        <w:bidi w:val="0"/>
        <w:adjustRightInd/>
        <w:snapToGrid/>
        <w:spacing w:before="67" w:line="255" w:lineRule="auto"/>
        <w:ind w:left="1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完成年初预算的</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%。本年无支出的原因是</w:t>
      </w:r>
      <w:r>
        <w:rPr>
          <w:rFonts w:hint="eastAsia" w:ascii="仿宋_GB2312" w:hAnsi="仿宋_GB2312" w:eastAsia="仿宋_GB2312" w:cs="仿宋_GB2312"/>
          <w:b w:val="0"/>
          <w:bCs w:val="0"/>
          <w:sz w:val="32"/>
          <w:szCs w:val="32"/>
          <w:lang w:eastAsia="zh-CN"/>
        </w:rPr>
        <w:t>不涉及。</w:t>
      </w:r>
    </w:p>
    <w:p w14:paraId="75B8B265">
      <w:pPr>
        <w:pStyle w:val="8"/>
        <w:keepNext w:val="0"/>
        <w:keepLines w:val="0"/>
        <w:pageBreakBefore w:val="0"/>
        <w:widowControl w:val="0"/>
        <w:numPr>
          <w:ilvl w:val="2"/>
          <w:numId w:val="0"/>
        </w:numPr>
        <w:tabs>
          <w:tab w:val="left" w:pos="2681"/>
        </w:tabs>
        <w:kinsoku/>
        <w:wordWrap/>
        <w:overflowPunct/>
        <w:topLinePunct w:val="0"/>
        <w:autoSpaceDE w:val="0"/>
        <w:autoSpaceDN w:val="0"/>
        <w:bidi w:val="0"/>
        <w:adjustRightInd/>
        <w:snapToGrid/>
        <w:spacing w:before="25" w:line="255" w:lineRule="auto"/>
        <w:ind w:left="1803" w:right="1287" w:rightChars="0" w:firstLine="641"/>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spacing w:val="-3"/>
          <w:sz w:val="32"/>
          <w:szCs w:val="32"/>
          <w:lang w:val="en-US" w:eastAsia="zh-CN"/>
        </w:rPr>
        <w:t>4.</w:t>
      </w:r>
      <w:r>
        <w:rPr>
          <w:rFonts w:hint="eastAsia" w:ascii="仿宋_GB2312" w:hAnsi="仿宋_GB2312" w:eastAsia="仿宋_GB2312" w:cs="仿宋_GB2312"/>
          <w:b w:val="0"/>
          <w:bCs/>
          <w:spacing w:val="-3"/>
          <w:sz w:val="32"/>
          <w:szCs w:val="32"/>
        </w:rPr>
        <w:t>住房保障</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pacing w:val="-10"/>
          <w:sz w:val="32"/>
          <w:szCs w:val="32"/>
        </w:rPr>
        <w:t>）</w:t>
      </w:r>
      <w:r>
        <w:rPr>
          <w:rFonts w:hint="eastAsia" w:ascii="仿宋_GB2312" w:hAnsi="仿宋_GB2312" w:eastAsia="仿宋_GB2312" w:cs="仿宋_GB2312"/>
          <w:b w:val="0"/>
          <w:bCs/>
          <w:spacing w:val="-3"/>
          <w:sz w:val="32"/>
          <w:szCs w:val="32"/>
        </w:rPr>
        <w:t>住房改革</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pacing w:val="-12"/>
          <w:sz w:val="32"/>
          <w:szCs w:val="32"/>
        </w:rPr>
        <w:t>）</w:t>
      </w:r>
      <w:r>
        <w:rPr>
          <w:rFonts w:hint="eastAsia" w:ascii="仿宋_GB2312" w:hAnsi="仿宋_GB2312" w:eastAsia="仿宋_GB2312" w:cs="仿宋_GB2312"/>
          <w:b w:val="0"/>
          <w:bCs/>
          <w:spacing w:val="-2"/>
          <w:sz w:val="32"/>
          <w:szCs w:val="32"/>
        </w:rPr>
        <w:t>住房公积金</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pacing w:val="-10"/>
          <w:sz w:val="32"/>
          <w:szCs w:val="32"/>
        </w:rPr>
        <w:t>）</w:t>
      </w:r>
      <w:r>
        <w:rPr>
          <w:rFonts w:hint="eastAsia" w:ascii="仿宋_GB2312" w:hAnsi="仿宋_GB2312" w:eastAsia="仿宋_GB2312" w:cs="仿宋_GB2312"/>
          <w:b w:val="0"/>
          <w:bCs/>
          <w:spacing w:val="-12"/>
          <w:sz w:val="32"/>
          <w:szCs w:val="32"/>
        </w:rPr>
        <w:t>。</w:t>
      </w:r>
      <w:r>
        <w:rPr>
          <w:rFonts w:hint="eastAsia" w:ascii="仿宋_GB2312" w:hAnsi="仿宋_GB2312" w:eastAsia="仿宋_GB2312" w:cs="仿宋_GB2312"/>
          <w:sz w:val="32"/>
          <w:szCs w:val="32"/>
        </w:rPr>
        <w:t>年初</w:t>
      </w:r>
      <w:r>
        <w:rPr>
          <w:rFonts w:hint="eastAsia" w:ascii="仿宋_GB2312" w:hAnsi="仿宋_GB2312" w:eastAsia="仿宋_GB2312" w:cs="仿宋_GB2312"/>
          <w:spacing w:val="-4"/>
          <w:sz w:val="32"/>
          <w:szCs w:val="32"/>
        </w:rPr>
        <w:t>预算为</w:t>
      </w:r>
      <w:r>
        <w:rPr>
          <w:rFonts w:hint="eastAsia" w:ascii="仿宋_GB2312" w:hAnsi="仿宋_GB2312" w:eastAsia="仿宋_GB2312" w:cs="仿宋_GB2312"/>
          <w:spacing w:val="-4"/>
          <w:sz w:val="32"/>
          <w:szCs w:val="32"/>
          <w:lang w:val="en-US" w:eastAsia="zh-CN"/>
        </w:rPr>
        <w:t>0</w:t>
      </w:r>
      <w:r>
        <w:rPr>
          <w:rFonts w:hint="eastAsia" w:ascii="仿宋_GB2312" w:hAnsi="仿宋_GB2312" w:eastAsia="仿宋_GB2312" w:cs="仿宋_GB2312"/>
          <w:spacing w:val="-2"/>
          <w:sz w:val="32"/>
          <w:szCs w:val="32"/>
        </w:rPr>
        <w:t>万元，支出决算为</w:t>
      </w:r>
      <w:r>
        <w:rPr>
          <w:rFonts w:hint="eastAsia" w:ascii="仿宋_GB2312" w:hAnsi="仿宋_GB2312" w:eastAsia="仿宋_GB2312" w:cs="仿宋_GB2312"/>
          <w:spacing w:val="-2"/>
          <w:sz w:val="32"/>
          <w:szCs w:val="32"/>
          <w:lang w:val="en-US"/>
        </w:rPr>
        <w:t>0</w:t>
      </w:r>
      <w:r>
        <w:rPr>
          <w:rFonts w:hint="eastAsia" w:ascii="仿宋_GB2312" w:hAnsi="仿宋_GB2312" w:eastAsia="仿宋_GB2312" w:cs="仿宋_GB2312"/>
          <w:sz w:val="32"/>
          <w:szCs w:val="32"/>
        </w:rPr>
        <w:t>万元，完成年初预算</w:t>
      </w:r>
      <w:r>
        <w:rPr>
          <w:rFonts w:hint="eastAsia" w:ascii="仿宋_GB2312" w:hAnsi="仿宋_GB2312" w:eastAsia="仿宋_GB2312" w:cs="仿宋_GB2312"/>
          <w:spacing w:val="-5"/>
          <w:sz w:val="32"/>
          <w:szCs w:val="32"/>
        </w:rPr>
        <w:t xml:space="preserve">的 </w:t>
      </w:r>
      <w:r>
        <w:rPr>
          <w:rFonts w:hint="eastAsia" w:ascii="仿宋_GB2312" w:hAnsi="仿宋_GB2312" w:eastAsia="仿宋_GB2312" w:cs="仿宋_GB2312"/>
          <w:sz w:val="32"/>
          <w:szCs w:val="32"/>
          <w:lang w:val="en-US"/>
        </w:rPr>
        <w:t>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b w:val="0"/>
          <w:bCs w:val="0"/>
          <w:sz w:val="32"/>
          <w:szCs w:val="32"/>
        </w:rPr>
        <w:t>本年无支出的原因是</w:t>
      </w:r>
      <w:r>
        <w:rPr>
          <w:rFonts w:hint="eastAsia" w:ascii="仿宋_GB2312" w:hAnsi="仿宋_GB2312" w:eastAsia="仿宋_GB2312" w:cs="仿宋_GB2312"/>
          <w:b w:val="0"/>
          <w:bCs w:val="0"/>
          <w:sz w:val="32"/>
          <w:szCs w:val="32"/>
          <w:lang w:eastAsia="zh-CN"/>
        </w:rPr>
        <w:t>不涉及。</w:t>
      </w:r>
      <w:r>
        <w:rPr>
          <w:rFonts w:hint="eastAsia" w:ascii="仿宋_GB2312" w:hAnsi="仿宋_GB2312" w:eastAsia="仿宋_GB2312" w:cs="仿宋_GB2312"/>
          <w:sz w:val="32"/>
          <w:szCs w:val="32"/>
        </w:rPr>
        <w:t>。</w:t>
      </w:r>
    </w:p>
    <w:p w14:paraId="22271F93">
      <w:pPr>
        <w:pStyle w:val="3"/>
        <w:keepNext w:val="0"/>
        <w:keepLines w:val="0"/>
        <w:pageBreakBefore w:val="0"/>
        <w:widowControl w:val="0"/>
        <w:numPr>
          <w:ilvl w:val="0"/>
          <w:numId w:val="0"/>
        </w:numPr>
        <w:tabs>
          <w:tab w:val="left" w:pos="2681"/>
        </w:tabs>
        <w:kinsoku/>
        <w:wordWrap/>
        <w:overflowPunct/>
        <w:topLinePunct w:val="0"/>
        <w:autoSpaceDE w:val="0"/>
        <w:autoSpaceDN w:val="0"/>
        <w:bidi w:val="0"/>
        <w:adjustRightInd/>
        <w:snapToGrid/>
        <w:spacing w:line="255" w:lineRule="auto"/>
        <w:ind w:left="2439" w:lef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0"/>
          <w:sz w:val="32"/>
          <w:szCs w:val="32"/>
          <w:lang w:val="en-US" w:eastAsia="zh-CN"/>
        </w:rPr>
        <w:t>5.</w:t>
      </w:r>
      <w:r>
        <w:rPr>
          <w:rFonts w:hint="eastAsia" w:ascii="仿宋_GB2312" w:hAnsi="仿宋_GB2312" w:eastAsia="仿宋_GB2312" w:cs="仿宋_GB2312"/>
          <w:b w:val="0"/>
          <w:bCs w:val="0"/>
          <w:spacing w:val="-10"/>
          <w:sz w:val="32"/>
          <w:szCs w:val="32"/>
        </w:rPr>
        <w:t>灾害防治及应急管理</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pacing w:val="-82"/>
          <w:sz w:val="32"/>
          <w:szCs w:val="32"/>
        </w:rPr>
        <w:t>）</w:t>
      </w:r>
      <w:r>
        <w:rPr>
          <w:rFonts w:hint="eastAsia" w:ascii="仿宋_GB2312" w:hAnsi="仿宋_GB2312" w:eastAsia="仿宋_GB2312" w:cs="仿宋_GB2312"/>
          <w:b w:val="0"/>
          <w:bCs w:val="0"/>
          <w:spacing w:val="-21"/>
          <w:sz w:val="32"/>
          <w:szCs w:val="32"/>
        </w:rPr>
        <w:t>消防事务</w:t>
      </w:r>
      <w:r>
        <w:rPr>
          <w:rFonts w:hint="eastAsia" w:ascii="仿宋_GB2312" w:hAnsi="仿宋_GB2312" w:eastAsia="仿宋_GB2312" w:cs="仿宋_GB2312"/>
          <w:b w:val="0"/>
          <w:bCs w:val="0"/>
          <w:sz w:val="32"/>
          <w:szCs w:val="32"/>
        </w:rPr>
        <w:t>（款</w:t>
      </w:r>
      <w:r>
        <w:rPr>
          <w:rFonts w:hint="eastAsia" w:ascii="仿宋_GB2312" w:hAnsi="仿宋_GB2312" w:eastAsia="仿宋_GB2312" w:cs="仿宋_GB2312"/>
          <w:b w:val="0"/>
          <w:bCs w:val="0"/>
          <w:spacing w:val="-82"/>
          <w:sz w:val="32"/>
          <w:szCs w:val="32"/>
        </w:rPr>
        <w:t>）</w:t>
      </w:r>
      <w:r>
        <w:rPr>
          <w:rFonts w:hint="eastAsia" w:ascii="仿宋_GB2312" w:hAnsi="仿宋_GB2312" w:eastAsia="仿宋_GB2312" w:cs="仿宋_GB2312"/>
          <w:b w:val="0"/>
          <w:bCs w:val="0"/>
          <w:spacing w:val="-21"/>
          <w:sz w:val="32"/>
          <w:szCs w:val="32"/>
        </w:rPr>
        <w:t>行政运行</w:t>
      </w:r>
      <w:r>
        <w:rPr>
          <w:rFonts w:hint="eastAsia" w:ascii="仿宋_GB2312" w:hAnsi="仿宋_GB2312" w:eastAsia="仿宋_GB2312" w:cs="仿宋_GB2312"/>
          <w:b w:val="0"/>
          <w:bCs w:val="0"/>
          <w:sz w:val="32"/>
          <w:szCs w:val="32"/>
        </w:rPr>
        <w:t>（项</w:t>
      </w:r>
      <w:r>
        <w:rPr>
          <w:rFonts w:hint="eastAsia" w:ascii="仿宋_GB2312" w:hAnsi="仿宋_GB2312" w:eastAsia="仿宋_GB2312" w:cs="仿宋_GB2312"/>
          <w:b w:val="0"/>
          <w:bCs w:val="0"/>
          <w:spacing w:val="-159"/>
          <w:sz w:val="32"/>
          <w:szCs w:val="32"/>
        </w:rPr>
        <w:t>）</w:t>
      </w:r>
      <w:r>
        <w:rPr>
          <w:rFonts w:hint="eastAsia" w:ascii="仿宋_GB2312" w:hAnsi="仿宋_GB2312" w:eastAsia="仿宋_GB2312" w:cs="仿宋_GB2312"/>
          <w:b w:val="0"/>
          <w:bCs w:val="0"/>
          <w:sz w:val="32"/>
          <w:szCs w:val="32"/>
        </w:rPr>
        <w:t>。</w:t>
      </w:r>
    </w:p>
    <w:p w14:paraId="4DF91626">
      <w:pPr>
        <w:pStyle w:val="4"/>
        <w:keepNext w:val="0"/>
        <w:keepLines w:val="0"/>
        <w:pageBreakBefore w:val="0"/>
        <w:widowControl w:val="0"/>
        <w:kinsoku/>
        <w:wordWrap/>
        <w:overflowPunct/>
        <w:topLinePunct w:val="0"/>
        <w:autoSpaceDE w:val="0"/>
        <w:autoSpaceDN w:val="0"/>
        <w:bidi w:val="0"/>
        <w:adjustRightInd/>
        <w:snapToGrid/>
        <w:spacing w:before="8" w:line="255" w:lineRule="auto"/>
        <w:ind w:left="1800" w:right="1284"/>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2"/>
          <w:sz w:val="32"/>
          <w:szCs w:val="32"/>
        </w:rPr>
        <w:t xml:space="preserve">年初预算为 </w:t>
      </w:r>
      <w:r>
        <w:rPr>
          <w:rFonts w:hint="eastAsia" w:ascii="仿宋_GB2312" w:hAnsi="仿宋_GB2312" w:eastAsia="仿宋_GB2312" w:cs="仿宋_GB2312"/>
          <w:b w:val="0"/>
          <w:bCs w:val="0"/>
          <w:sz w:val="32"/>
          <w:szCs w:val="32"/>
          <w:lang w:val="en-US" w:eastAsia="zh-CN"/>
        </w:rPr>
        <w:t>3.5</w:t>
      </w:r>
      <w:r>
        <w:rPr>
          <w:rFonts w:hint="eastAsia" w:ascii="仿宋_GB2312" w:hAnsi="仿宋_GB2312" w:eastAsia="仿宋_GB2312" w:cs="仿宋_GB2312"/>
          <w:b w:val="0"/>
          <w:bCs w:val="0"/>
          <w:spacing w:val="-12"/>
          <w:sz w:val="32"/>
          <w:szCs w:val="32"/>
        </w:rPr>
        <w:t>万元，支出决算为</w:t>
      </w:r>
      <w:r>
        <w:rPr>
          <w:rFonts w:hint="default" w:ascii="仿宋_GB2312" w:hAnsi="仿宋_GB2312" w:eastAsia="仿宋_GB2312" w:cs="仿宋_GB2312"/>
          <w:b w:val="0"/>
          <w:bCs w:val="0"/>
          <w:spacing w:val="-12"/>
          <w:sz w:val="32"/>
          <w:szCs w:val="32"/>
          <w:lang w:eastAsia="zh-CN"/>
        </w:rPr>
        <w:t>3.</w:t>
      </w:r>
      <w:r>
        <w:rPr>
          <w:rFonts w:hint="eastAsia" w:ascii="仿宋_GB2312" w:hAnsi="仿宋_GB2312" w:eastAsia="仿宋_GB2312" w:cs="仿宋_GB2312"/>
          <w:b w:val="0"/>
          <w:bCs w:val="0"/>
          <w:spacing w:val="-12"/>
          <w:sz w:val="32"/>
          <w:szCs w:val="32"/>
          <w:lang w:val="en-US" w:eastAsia="zh-CN"/>
        </w:rPr>
        <w:t>5</w:t>
      </w:r>
      <w:r>
        <w:rPr>
          <w:rFonts w:hint="eastAsia" w:ascii="仿宋_GB2312" w:hAnsi="仿宋_GB2312" w:eastAsia="仿宋_GB2312" w:cs="仿宋_GB2312"/>
          <w:b w:val="0"/>
          <w:bCs w:val="0"/>
          <w:spacing w:val="-12"/>
          <w:sz w:val="32"/>
          <w:szCs w:val="32"/>
        </w:rPr>
        <w:t>万元，完成年初</w:t>
      </w:r>
      <w:r>
        <w:rPr>
          <w:rFonts w:hint="eastAsia" w:ascii="仿宋_GB2312" w:hAnsi="仿宋_GB2312" w:eastAsia="仿宋_GB2312" w:cs="仿宋_GB2312"/>
          <w:b w:val="0"/>
          <w:bCs w:val="0"/>
          <w:spacing w:val="-13"/>
          <w:sz w:val="32"/>
          <w:szCs w:val="32"/>
        </w:rPr>
        <w:t>预算的</w:t>
      </w:r>
      <w:r>
        <w:rPr>
          <w:rFonts w:hint="default" w:ascii="仿宋_GB2312" w:hAnsi="仿宋_GB2312" w:eastAsia="仿宋_GB2312" w:cs="仿宋_GB2312"/>
          <w:b w:val="0"/>
          <w:bCs w:val="0"/>
          <w:sz w:val="32"/>
          <w:szCs w:val="32"/>
          <w:lang w:eastAsia="zh-CN"/>
        </w:rPr>
        <w:t>1</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lang w:eastAsia="zh-CN"/>
        </w:rPr>
        <w:t>0</w:t>
      </w:r>
      <w:r>
        <w:rPr>
          <w:rFonts w:hint="eastAsia" w:ascii="仿宋_GB2312" w:hAnsi="仿宋_GB2312" w:eastAsia="仿宋_GB2312" w:cs="仿宋_GB2312"/>
          <w:b w:val="0"/>
          <w:bCs w:val="0"/>
          <w:sz w:val="32"/>
          <w:szCs w:val="32"/>
        </w:rPr>
        <w:t>%。</w:t>
      </w:r>
    </w:p>
    <w:p w14:paraId="0FEB00A8">
      <w:pPr>
        <w:pStyle w:val="3"/>
        <w:keepNext w:val="0"/>
        <w:keepLines w:val="0"/>
        <w:pageBreakBefore w:val="0"/>
        <w:widowControl w:val="0"/>
        <w:numPr>
          <w:ilvl w:val="0"/>
          <w:numId w:val="0"/>
        </w:numPr>
        <w:tabs>
          <w:tab w:val="left" w:pos="2681"/>
        </w:tabs>
        <w:kinsoku/>
        <w:wordWrap/>
        <w:overflowPunct/>
        <w:topLinePunct w:val="0"/>
        <w:autoSpaceDE w:val="0"/>
        <w:autoSpaceDN w:val="0"/>
        <w:bidi w:val="0"/>
        <w:adjustRightInd/>
        <w:snapToGrid/>
        <w:spacing w:line="255" w:lineRule="auto"/>
        <w:ind w:left="2439" w:lef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3"/>
          <w:sz w:val="32"/>
          <w:szCs w:val="32"/>
          <w:lang w:val="en-US" w:eastAsia="zh-CN"/>
        </w:rPr>
        <w:t>6.</w:t>
      </w:r>
      <w:r>
        <w:rPr>
          <w:rFonts w:hint="eastAsia" w:ascii="仿宋_GB2312" w:hAnsi="仿宋_GB2312" w:eastAsia="仿宋_GB2312" w:cs="仿宋_GB2312"/>
          <w:b w:val="0"/>
          <w:bCs w:val="0"/>
          <w:spacing w:val="-3"/>
          <w:sz w:val="32"/>
          <w:szCs w:val="32"/>
        </w:rPr>
        <w:t>灾害防治及应急管理</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pacing w:val="-19"/>
          <w:sz w:val="32"/>
          <w:szCs w:val="32"/>
        </w:rPr>
        <w:t>）</w:t>
      </w:r>
      <w:r>
        <w:rPr>
          <w:rFonts w:hint="eastAsia" w:ascii="仿宋_GB2312" w:hAnsi="仿宋_GB2312" w:eastAsia="仿宋_GB2312" w:cs="仿宋_GB2312"/>
          <w:b w:val="0"/>
          <w:bCs w:val="0"/>
          <w:spacing w:val="-6"/>
          <w:sz w:val="32"/>
          <w:szCs w:val="32"/>
        </w:rPr>
        <w:t>消防事务</w:t>
      </w:r>
      <w:r>
        <w:rPr>
          <w:rFonts w:hint="eastAsia" w:ascii="仿宋_GB2312" w:hAnsi="仿宋_GB2312" w:eastAsia="仿宋_GB2312" w:cs="仿宋_GB2312"/>
          <w:b w:val="0"/>
          <w:bCs w:val="0"/>
          <w:sz w:val="32"/>
          <w:szCs w:val="32"/>
        </w:rPr>
        <w:t>（款</w:t>
      </w:r>
      <w:r>
        <w:rPr>
          <w:rFonts w:hint="eastAsia" w:ascii="仿宋_GB2312" w:hAnsi="仿宋_GB2312" w:eastAsia="仿宋_GB2312" w:cs="仿宋_GB2312"/>
          <w:b w:val="0"/>
          <w:bCs w:val="0"/>
          <w:spacing w:val="-19"/>
          <w:sz w:val="32"/>
          <w:szCs w:val="32"/>
        </w:rPr>
        <w:t>）</w:t>
      </w:r>
      <w:r>
        <w:rPr>
          <w:rFonts w:hint="eastAsia" w:ascii="仿宋_GB2312" w:hAnsi="仿宋_GB2312" w:eastAsia="仿宋_GB2312" w:cs="仿宋_GB2312"/>
          <w:b w:val="0"/>
          <w:bCs w:val="0"/>
          <w:sz w:val="32"/>
          <w:szCs w:val="32"/>
        </w:rPr>
        <w:t>消防应急救援</w:t>
      </w:r>
    </w:p>
    <w:p w14:paraId="04D4C310">
      <w:pPr>
        <w:pStyle w:val="4"/>
        <w:keepNext w:val="0"/>
        <w:keepLines w:val="0"/>
        <w:pageBreakBefore w:val="0"/>
        <w:widowControl w:val="0"/>
        <w:kinsoku/>
        <w:wordWrap/>
        <w:overflowPunct/>
        <w:topLinePunct w:val="0"/>
        <w:autoSpaceDE w:val="0"/>
        <w:autoSpaceDN w:val="0"/>
        <w:bidi w:val="0"/>
        <w:adjustRightInd/>
        <w:snapToGrid/>
        <w:spacing w:before="8" w:line="255" w:lineRule="auto"/>
        <w:ind w:left="1800" w:right="1284"/>
        <w:jc w:val="both"/>
        <w:textAlignment w:val="auto"/>
        <w:rPr>
          <w:highlight w:val="yellow"/>
        </w:rPr>
      </w:pPr>
      <w:r>
        <w:rPr>
          <w:rFonts w:hint="eastAsia" w:ascii="仿宋_GB2312" w:hAnsi="仿宋_GB2312" w:eastAsia="仿宋_GB2312" w:cs="仿宋_GB2312"/>
          <w:b w:val="0"/>
          <w:bCs w:val="0"/>
          <w:sz w:val="32"/>
          <w:szCs w:val="32"/>
        </w:rPr>
        <w:t>（项</w:t>
      </w:r>
      <w:r>
        <w:rPr>
          <w:rFonts w:hint="eastAsia" w:ascii="仿宋_GB2312" w:hAnsi="仿宋_GB2312" w:eastAsia="仿宋_GB2312" w:cs="仿宋_GB2312"/>
          <w:b w:val="0"/>
          <w:bCs w:val="0"/>
          <w:spacing w:val="-34"/>
          <w:sz w:val="32"/>
          <w:szCs w:val="32"/>
        </w:rPr>
        <w:t>）。</w:t>
      </w:r>
      <w:r>
        <w:rPr>
          <w:rFonts w:hint="eastAsia" w:ascii="仿宋_GB2312" w:hAnsi="仿宋_GB2312" w:eastAsia="仿宋_GB2312" w:cs="仿宋_GB2312"/>
          <w:b w:val="0"/>
          <w:bCs w:val="0"/>
          <w:spacing w:val="-3"/>
          <w:sz w:val="32"/>
          <w:szCs w:val="32"/>
        </w:rPr>
        <w:t>年初预算为</w:t>
      </w:r>
      <w:r>
        <w:rPr>
          <w:rFonts w:hint="eastAsia" w:ascii="仿宋_GB2312" w:hAnsi="仿宋_GB2312" w:eastAsia="仿宋_GB2312" w:cs="仿宋_GB2312"/>
          <w:b w:val="0"/>
          <w:bCs w:val="0"/>
          <w:spacing w:val="-3"/>
          <w:sz w:val="32"/>
          <w:szCs w:val="32"/>
          <w:lang w:val="en-US" w:eastAsia="zh-CN"/>
        </w:rPr>
        <w:t>7.5</w:t>
      </w:r>
      <w:r>
        <w:rPr>
          <w:rFonts w:hint="eastAsia" w:ascii="仿宋_GB2312" w:hAnsi="仿宋_GB2312" w:eastAsia="仿宋_GB2312" w:cs="仿宋_GB2312"/>
          <w:b w:val="0"/>
          <w:bCs w:val="0"/>
          <w:spacing w:val="-7"/>
          <w:sz w:val="32"/>
          <w:szCs w:val="32"/>
        </w:rPr>
        <w:t xml:space="preserve">万元，支出决算为 </w:t>
      </w:r>
      <w:r>
        <w:rPr>
          <w:rFonts w:hint="eastAsia" w:ascii="仿宋_GB2312" w:hAnsi="仿宋_GB2312" w:eastAsia="仿宋_GB2312" w:cs="仿宋_GB2312"/>
          <w:b w:val="0"/>
          <w:bCs w:val="0"/>
          <w:sz w:val="32"/>
          <w:szCs w:val="32"/>
          <w:lang w:val="en-US" w:eastAsia="zh-CN"/>
        </w:rPr>
        <w:t>8.24</w:t>
      </w:r>
      <w:r>
        <w:rPr>
          <w:rFonts w:hint="eastAsia" w:ascii="仿宋_GB2312" w:hAnsi="仿宋_GB2312" w:eastAsia="仿宋_GB2312" w:cs="仿宋_GB2312"/>
          <w:b w:val="0"/>
          <w:bCs w:val="0"/>
          <w:spacing w:val="-8"/>
          <w:sz w:val="32"/>
          <w:szCs w:val="32"/>
        </w:rPr>
        <w:t>万元。完成</w:t>
      </w:r>
      <w:r>
        <w:rPr>
          <w:rFonts w:hint="eastAsia" w:ascii="仿宋_GB2312" w:hAnsi="仿宋_GB2312" w:eastAsia="仿宋_GB2312" w:cs="仿宋_GB2312"/>
          <w:b w:val="0"/>
          <w:bCs w:val="0"/>
          <w:spacing w:val="-11"/>
          <w:sz w:val="32"/>
          <w:szCs w:val="32"/>
        </w:rPr>
        <w:t>年初预算的</w:t>
      </w:r>
      <w:r>
        <w:rPr>
          <w:rFonts w:hint="default" w:ascii="仿宋_GB2312" w:hAnsi="仿宋_GB2312" w:eastAsia="仿宋_GB2312" w:cs="仿宋_GB2312"/>
          <w:b w:val="0"/>
          <w:bCs w:val="0"/>
          <w:spacing w:val="-11"/>
          <w:sz w:val="32"/>
          <w:szCs w:val="32"/>
          <w:lang w:eastAsia="zh-CN"/>
        </w:rPr>
        <w:t>109.</w:t>
      </w:r>
      <w:r>
        <w:rPr>
          <w:rFonts w:hint="eastAsia" w:ascii="仿宋_GB2312" w:hAnsi="仿宋_GB2312" w:eastAsia="仿宋_GB2312" w:cs="仿宋_GB2312"/>
          <w:b w:val="0"/>
          <w:bCs w:val="0"/>
          <w:spacing w:val="-11"/>
          <w:sz w:val="32"/>
          <w:szCs w:val="32"/>
          <w:lang w:val="en-US" w:eastAsia="zh-CN"/>
        </w:rPr>
        <w:t>87</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pacing w:val="-10"/>
          <w:sz w:val="32"/>
          <w:szCs w:val="32"/>
        </w:rPr>
        <w:t>。</w:t>
      </w:r>
      <w:r>
        <w:rPr>
          <w:rFonts w:hint="eastAsia" w:ascii="仿宋_GB2312" w:hAnsi="仿宋_GB2312" w:eastAsia="仿宋_GB2312" w:cs="仿宋_GB2312"/>
          <w:b w:val="0"/>
          <w:bCs w:val="0"/>
          <w:spacing w:val="-10"/>
          <w:sz w:val="32"/>
          <w:szCs w:val="32"/>
          <w:lang w:val="en-US" w:eastAsia="zh-CN"/>
        </w:rPr>
        <w:t>决算数大于年初预算数的主要原因</w:t>
      </w:r>
      <w:r>
        <w:rPr>
          <w:rFonts w:hint="default" w:ascii="仿宋_GB2312" w:hAnsi="仿宋_GB2312" w:eastAsia="仿宋_GB2312" w:cs="仿宋_GB2312"/>
          <w:b w:val="0"/>
          <w:bCs w:val="0"/>
          <w:spacing w:val="-10"/>
          <w:sz w:val="32"/>
          <w:szCs w:val="32"/>
          <w:lang w:eastAsia="zh-CN"/>
        </w:rPr>
        <w:t>是</w:t>
      </w:r>
      <w:r>
        <w:rPr>
          <w:rFonts w:hint="eastAsia" w:ascii="仿宋_GB2312" w:hAnsi="仿宋_GB2312" w:eastAsia="仿宋_GB2312" w:cs="仿宋_GB2312"/>
          <w:b w:val="0"/>
          <w:bCs w:val="0"/>
          <w:sz w:val="32"/>
          <w:szCs w:val="32"/>
          <w:lang w:eastAsia="zh-CN"/>
        </w:rPr>
        <w:t>支出经费中包含上年结转经费。</w:t>
      </w:r>
    </w:p>
    <w:p w14:paraId="226A3250">
      <w:pPr>
        <w:pStyle w:val="4"/>
        <w:spacing w:line="536" w:lineRule="exact"/>
        <w:ind w:left="2428"/>
      </w:pPr>
      <w:r>
        <w:rPr>
          <w:rFonts w:hint="eastAsia" w:ascii="黑体" w:hAnsi="黑体" w:eastAsia="黑体" w:cs="黑体"/>
        </w:rPr>
        <w:t>六、一般公共预算财政拨款基本支出决算情况说明</w:t>
      </w:r>
    </w:p>
    <w:p w14:paraId="29165AC7">
      <w:pPr>
        <w:pStyle w:val="4"/>
        <w:spacing w:line="232" w:lineRule="auto"/>
        <w:ind w:left="1814" w:right="113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 xml:space="preserve"> 年度财政拨款基本支出</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办公费</w:t>
      </w:r>
      <w:r>
        <w:rPr>
          <w:rFonts w:hint="eastAsia" w:ascii="仿宋_GB2312" w:hAnsi="仿宋_GB2312" w:eastAsia="仿宋_GB2312" w:cs="仿宋_GB2312"/>
          <w:sz w:val="32"/>
          <w:szCs w:val="32"/>
          <w:lang w:val="en-US" w:eastAsia="zh-CN"/>
        </w:rPr>
        <w:t>2.98万元，</w:t>
      </w:r>
      <w:r>
        <w:rPr>
          <w:rFonts w:hint="eastAsia" w:ascii="仿宋_GB2312" w:hAnsi="仿宋_GB2312" w:eastAsia="仿宋_GB2312" w:cs="仿宋_GB2312"/>
          <w:sz w:val="32"/>
          <w:szCs w:val="32"/>
          <w:lang w:eastAsia="zh-CN"/>
        </w:rPr>
        <w:t>商品和服务支出</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z w:val="32"/>
          <w:szCs w:val="32"/>
          <w:lang w:val="en-US" w:eastAsia="zh-CN"/>
        </w:rPr>
        <w:t>0.52</w:t>
      </w:r>
      <w:r>
        <w:rPr>
          <w:rFonts w:hint="eastAsia" w:ascii="仿宋_GB2312" w:hAnsi="仿宋_GB2312" w:eastAsia="仿宋_GB2312" w:cs="仿宋_GB2312"/>
          <w:sz w:val="32"/>
          <w:szCs w:val="32"/>
        </w:rPr>
        <w:t>万元</w:t>
      </w:r>
      <w:r>
        <w:rPr>
          <w:rFonts w:hint="eastAsia" w:ascii="仿宋_GB2312" w:hAnsi="仿宋_GB2312" w:eastAsia="仿宋_GB2312" w:cs="仿宋_GB2312"/>
          <w:spacing w:val="-13"/>
          <w:sz w:val="32"/>
          <w:szCs w:val="32"/>
        </w:rPr>
        <w:t>。</w:t>
      </w:r>
    </w:p>
    <w:p w14:paraId="3FC42960">
      <w:pPr>
        <w:pStyle w:val="4"/>
        <w:spacing w:line="514" w:lineRule="exact"/>
        <w:ind w:left="2440"/>
      </w:pPr>
      <w:r>
        <w:rPr>
          <w:rFonts w:hint="eastAsia" w:ascii="黑体" w:hAnsi="黑体" w:eastAsia="黑体" w:cs="黑体"/>
        </w:rPr>
        <w:t>七、财政拨款“三公”经费支出决算情况说明</w:t>
      </w:r>
    </w:p>
    <w:p w14:paraId="45B763D1">
      <w:pPr>
        <w:pStyle w:val="3"/>
        <w:spacing w:line="556" w:lineRule="exact"/>
      </w:pPr>
      <w:r>
        <w:rPr>
          <w:rFonts w:hint="eastAsia" w:ascii="华文楷体" w:hAnsi="华文楷体" w:eastAsia="华文楷体" w:cstheme="minorBidi"/>
          <w:b w:val="0"/>
          <w:bCs w:val="0"/>
          <w:kern w:val="2"/>
          <w:sz w:val="32"/>
          <w:szCs w:val="32"/>
          <w:lang w:val="en-US" w:eastAsia="zh-CN" w:bidi="ar-SA"/>
        </w:rPr>
        <w:t>（一）“三公”经费财政拨款支出决算总体情况说明</w:t>
      </w:r>
    </w:p>
    <w:p w14:paraId="5C9D5115">
      <w:pPr>
        <w:pStyle w:val="4"/>
        <w:spacing w:line="232" w:lineRule="auto"/>
        <w:ind w:left="1800" w:right="1286" w:firstLine="64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 xml:space="preserve"> 年度“三公”</w:t>
      </w:r>
      <w:r>
        <w:rPr>
          <w:rFonts w:hint="eastAsia" w:ascii="仿宋_GB2312" w:hAnsi="仿宋_GB2312" w:eastAsia="仿宋_GB2312" w:cs="仿宋_GB2312"/>
          <w:spacing w:val="-1"/>
          <w:sz w:val="32"/>
          <w:szCs w:val="32"/>
        </w:rPr>
        <w:t>经费财政拨款支出预算为</w:t>
      </w:r>
      <w:r>
        <w:rPr>
          <w:rFonts w:hint="eastAsia" w:ascii="仿宋_GB2312" w:hAnsi="仿宋_GB2312" w:eastAsia="仿宋_GB2312" w:cs="仿宋_GB2312"/>
          <w:spacing w:val="-1"/>
          <w:sz w:val="32"/>
          <w:szCs w:val="32"/>
          <w:lang w:val="en-US" w:eastAsia="zh-CN"/>
        </w:rPr>
        <w:t>0</w:t>
      </w:r>
      <w:r>
        <w:rPr>
          <w:rFonts w:hint="eastAsia" w:ascii="仿宋_GB2312" w:hAnsi="仿宋_GB2312" w:eastAsia="仿宋_GB2312" w:cs="仿宋_GB2312"/>
          <w:spacing w:val="-22"/>
          <w:sz w:val="32"/>
          <w:szCs w:val="32"/>
        </w:rPr>
        <w:t>万元，支出</w:t>
      </w:r>
      <w:r>
        <w:rPr>
          <w:rFonts w:hint="eastAsia" w:ascii="仿宋_GB2312" w:hAnsi="仿宋_GB2312" w:eastAsia="仿宋_GB2312" w:cs="仿宋_GB2312"/>
          <w:spacing w:val="-20"/>
          <w:sz w:val="32"/>
          <w:szCs w:val="32"/>
        </w:rPr>
        <w:t xml:space="preserve">决算为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pacing w:val="-1"/>
          <w:sz w:val="32"/>
          <w:szCs w:val="32"/>
        </w:rPr>
        <w:t>万元，完成预算的</w:t>
      </w:r>
      <w:r>
        <w:rPr>
          <w:rFonts w:hint="eastAsia" w:ascii="仿宋_GB2312" w:hAnsi="仿宋_GB2312" w:eastAsia="仿宋_GB2312" w:cs="仿宋_GB2312"/>
          <w:spacing w:val="-1"/>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b w:val="0"/>
          <w:bCs/>
          <w:sz w:val="32"/>
          <w:szCs w:val="32"/>
          <w:lang w:eastAsia="zh-CN"/>
        </w:rPr>
        <w:t>大</w:t>
      </w:r>
      <w:r>
        <w:rPr>
          <w:rFonts w:hint="eastAsia" w:ascii="仿宋_GB2312" w:hAnsi="仿宋_GB2312" w:eastAsia="仿宋_GB2312" w:cs="仿宋_GB2312"/>
          <w:b w:val="0"/>
          <w:bCs/>
          <w:sz w:val="32"/>
          <w:szCs w:val="32"/>
        </w:rPr>
        <w:t>队本级未列支</w:t>
      </w:r>
      <w:r>
        <w:rPr>
          <w:rFonts w:hint="eastAsia" w:ascii="仿宋_GB2312" w:hAnsi="仿宋_GB2312" w:eastAsia="仿宋_GB2312" w:cs="仿宋_GB2312"/>
          <w:b w:val="0"/>
          <w:bCs/>
          <w:sz w:val="32"/>
          <w:szCs w:val="32"/>
          <w:lang w:eastAsia="zh-CN"/>
        </w:rPr>
        <w:t>“三公经费”</w:t>
      </w:r>
      <w:r>
        <w:rPr>
          <w:rFonts w:hint="eastAsia" w:ascii="仿宋_GB2312" w:hAnsi="仿宋_GB2312" w:eastAsia="仿宋_GB2312" w:cs="仿宋_GB2312"/>
          <w:b w:val="0"/>
          <w:bCs/>
          <w:sz w:val="32"/>
          <w:szCs w:val="32"/>
        </w:rPr>
        <w:t>预</w:t>
      </w:r>
    </w:p>
    <w:p w14:paraId="153B48D7">
      <w:pPr>
        <w:spacing w:before="76"/>
        <w:ind w:left="1800"/>
        <w:rPr>
          <w:b w:val="0"/>
          <w:bCs/>
          <w:sz w:val="31"/>
        </w:rPr>
      </w:pPr>
      <w:r>
        <w:rPr>
          <w:rFonts w:hint="eastAsia" w:ascii="仿宋_GB2312" w:hAnsi="仿宋_GB2312" w:eastAsia="仿宋_GB2312" w:cs="仿宋_GB2312"/>
          <w:b w:val="0"/>
          <w:bCs/>
          <w:sz w:val="32"/>
          <w:szCs w:val="32"/>
        </w:rPr>
        <w:t>算。</w:t>
      </w:r>
    </w:p>
    <w:p w14:paraId="7C755F92">
      <w:pPr>
        <w:tabs>
          <w:tab w:val="center" w:pos="5955"/>
        </w:tabs>
        <w:bidi w:val="0"/>
        <w:jc w:val="left"/>
        <w:rPr>
          <w:lang w:val="zh-CN" w:eastAsia="zh-CN"/>
        </w:rPr>
        <w:sectPr>
          <w:pgSz w:w="11910" w:h="16840"/>
          <w:pgMar w:top="1480" w:right="0" w:bottom="1160" w:left="0" w:header="0" w:footer="895" w:gutter="0"/>
          <w:cols w:space="720" w:num="1"/>
        </w:sectPr>
      </w:pPr>
    </w:p>
    <w:p w14:paraId="4520632C">
      <w:pPr>
        <w:pStyle w:val="3"/>
        <w:spacing w:line="494" w:lineRule="exact"/>
        <w:jc w:val="both"/>
      </w:pPr>
      <w:r>
        <w:rPr>
          <w:rFonts w:hint="eastAsia" w:ascii="华文楷体" w:hAnsi="华文楷体" w:eastAsia="华文楷体" w:cstheme="minorBidi"/>
          <w:b w:val="0"/>
          <w:bCs w:val="0"/>
          <w:kern w:val="2"/>
          <w:sz w:val="32"/>
          <w:szCs w:val="32"/>
          <w:lang w:val="en-US" w:eastAsia="zh-CN" w:bidi="ar-SA"/>
        </w:rPr>
        <w:t>（二）“三公”经费财政拨款支出决算具体情况说明</w:t>
      </w:r>
    </w:p>
    <w:p w14:paraId="7D6C7369">
      <w:pPr>
        <w:pStyle w:val="4"/>
        <w:keepNext w:val="0"/>
        <w:keepLines w:val="0"/>
        <w:pageBreakBefore w:val="0"/>
        <w:widowControl w:val="0"/>
        <w:kinsoku/>
        <w:wordWrap/>
        <w:overflowPunct/>
        <w:topLinePunct w:val="0"/>
        <w:autoSpaceDE w:val="0"/>
        <w:autoSpaceDN w:val="0"/>
        <w:bidi w:val="0"/>
        <w:adjustRightInd/>
        <w:snapToGrid/>
        <w:spacing w:before="67" w:line="269" w:lineRule="auto"/>
        <w:ind w:left="1803" w:right="1123"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公务用车购置及运行费预算为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rPr>
        <w:t xml:space="preserve">万元，完成预算的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lang w:val="en-US"/>
        </w:rPr>
        <w:t>队本级未列支公务</w:t>
      </w:r>
      <w:r>
        <w:rPr>
          <w:rFonts w:hint="eastAsia" w:ascii="仿宋_GB2312" w:hAnsi="仿宋_GB2312" w:eastAsia="仿宋_GB2312" w:cs="仿宋_GB2312"/>
          <w:sz w:val="32"/>
          <w:szCs w:val="32"/>
          <w:lang w:val="en-US" w:eastAsia="zh-CN"/>
        </w:rPr>
        <w:t>用车购置及运行费预算。</w:t>
      </w:r>
      <w:r>
        <w:rPr>
          <w:rFonts w:hint="eastAsia" w:ascii="仿宋_GB2312" w:hAnsi="仿宋_GB2312" w:eastAsia="仿宋_GB2312" w:cs="仿宋_GB2312"/>
          <w:sz w:val="32"/>
          <w:szCs w:val="32"/>
          <w:lang w:val="en-US"/>
        </w:rPr>
        <w:t>公务接待费预算为 0 万元，</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lang w:val="en-US"/>
        </w:rPr>
        <w:t>队本级未列支公务接待费预算。</w:t>
      </w:r>
    </w:p>
    <w:p w14:paraId="544015C4">
      <w:pPr>
        <w:pStyle w:val="4"/>
        <w:keepNext w:val="0"/>
        <w:keepLines w:val="0"/>
        <w:pageBreakBefore w:val="0"/>
        <w:widowControl w:val="0"/>
        <w:kinsoku/>
        <w:wordWrap/>
        <w:overflowPunct/>
        <w:topLinePunct w:val="0"/>
        <w:autoSpaceDE w:val="0"/>
        <w:autoSpaceDN w:val="0"/>
        <w:bidi w:val="0"/>
        <w:adjustRightInd/>
        <w:snapToGrid/>
        <w:spacing w:before="14" w:line="233" w:lineRule="auto"/>
        <w:ind w:left="1803" w:right="1208" w:firstLine="641"/>
        <w:textAlignment w:val="auto"/>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八、机关运行经费支出说明</w:t>
      </w:r>
    </w:p>
    <w:p w14:paraId="425F1BFC">
      <w:pPr>
        <w:pStyle w:val="4"/>
        <w:keepNext w:val="0"/>
        <w:keepLines w:val="0"/>
        <w:pageBreakBefore w:val="0"/>
        <w:widowControl w:val="0"/>
        <w:kinsoku/>
        <w:wordWrap/>
        <w:overflowPunct/>
        <w:topLinePunct w:val="0"/>
        <w:autoSpaceDE w:val="0"/>
        <w:autoSpaceDN w:val="0"/>
        <w:bidi w:val="0"/>
        <w:adjustRightInd/>
        <w:snapToGrid/>
        <w:spacing w:before="14" w:line="233" w:lineRule="auto"/>
        <w:ind w:left="1803" w:right="1208" w:firstLine="64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玉田县</w:t>
      </w:r>
      <w:r>
        <w:rPr>
          <w:rFonts w:hint="eastAsia" w:ascii="仿宋_GB2312" w:hAnsi="仿宋_GB2312" w:eastAsia="仿宋_GB2312" w:cs="仿宋_GB2312"/>
          <w:sz w:val="32"/>
          <w:szCs w:val="32"/>
          <w:lang w:val="en-US"/>
        </w:rPr>
        <w:t>消防救援</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lang w:val="en-US"/>
        </w:rPr>
        <w:t>队本级 202</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lang w:val="en-US"/>
        </w:rPr>
        <w:t xml:space="preserve"> 年度机关运行经费支</w:t>
      </w:r>
      <w:r>
        <w:rPr>
          <w:rFonts w:hint="eastAsia" w:ascii="仿宋_GB2312" w:hAnsi="仿宋_GB2312" w:eastAsia="仿宋_GB2312" w:cs="仿宋_GB2312"/>
          <w:sz w:val="32"/>
          <w:szCs w:val="32"/>
          <w:lang w:val="en-US" w:eastAsia="zh-CN"/>
        </w:rPr>
        <w:t>出0</w:t>
      </w:r>
      <w:r>
        <w:rPr>
          <w:rFonts w:hint="eastAsia" w:ascii="仿宋_GB2312" w:hAnsi="仿宋_GB2312" w:eastAsia="仿宋_GB2312" w:cs="仿宋_GB2312"/>
          <w:sz w:val="32"/>
          <w:szCs w:val="32"/>
          <w:lang w:val="en-US"/>
        </w:rPr>
        <w:t>万元，比 202</w:t>
      </w: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lang w:val="en-US"/>
        </w:rPr>
        <w:t xml:space="preserve"> 年减少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rPr>
        <w:t xml:space="preserve"> 万元。主要原因是</w:t>
      </w:r>
      <w:r>
        <w:rPr>
          <w:rFonts w:hint="eastAsia" w:ascii="仿宋_GB2312" w:hAnsi="仿宋_GB2312" w:eastAsia="仿宋_GB2312" w:cs="仿宋_GB2312"/>
          <w:sz w:val="32"/>
          <w:szCs w:val="32"/>
          <w:lang w:val="en-US" w:eastAsia="zh-CN"/>
        </w:rPr>
        <w:t>不涉及</w:t>
      </w:r>
      <w:r>
        <w:rPr>
          <w:rFonts w:hint="eastAsia" w:ascii="仿宋_GB2312" w:hAnsi="仿宋_GB2312" w:eastAsia="仿宋_GB2312" w:cs="仿宋_GB2312"/>
          <w:sz w:val="32"/>
          <w:szCs w:val="32"/>
        </w:rPr>
        <w:t>。</w:t>
      </w:r>
    </w:p>
    <w:p w14:paraId="2A12DDF4">
      <w:pPr>
        <w:pStyle w:val="4"/>
        <w:spacing w:line="536" w:lineRule="exact"/>
        <w:ind w:left="2440"/>
      </w:pPr>
      <w:r>
        <w:rPr>
          <w:rFonts w:hint="eastAsia" w:ascii="黑体" w:hAnsi="黑体" w:eastAsia="黑体" w:cs="黑体"/>
        </w:rPr>
        <w:t>九、政府采购支出说明</w:t>
      </w:r>
    </w:p>
    <w:p w14:paraId="701CF10C">
      <w:pPr>
        <w:pStyle w:val="4"/>
        <w:keepNext w:val="0"/>
        <w:keepLines w:val="0"/>
        <w:pageBreakBefore w:val="0"/>
        <w:widowControl w:val="0"/>
        <w:kinsoku/>
        <w:wordWrap/>
        <w:overflowPunct/>
        <w:topLinePunct w:val="0"/>
        <w:autoSpaceDE w:val="0"/>
        <w:autoSpaceDN w:val="0"/>
        <w:bidi w:val="0"/>
        <w:adjustRightInd/>
        <w:snapToGrid/>
        <w:spacing w:before="67" w:line="269" w:lineRule="auto"/>
        <w:ind w:left="1803" w:right="1123"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玉田县</w:t>
      </w:r>
      <w:r>
        <w:rPr>
          <w:rFonts w:hint="eastAsia" w:ascii="仿宋_GB2312" w:hAnsi="仿宋_GB2312" w:eastAsia="仿宋_GB2312" w:cs="仿宋_GB2312"/>
          <w:sz w:val="32"/>
          <w:szCs w:val="32"/>
          <w:lang w:val="en-US"/>
        </w:rPr>
        <w:t>消防救援</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lang w:val="en-US"/>
        </w:rPr>
        <w:t>队</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年度政府采购支出总额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万元，其中：政府采购货物支出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w:t>
      </w:r>
      <w:r>
        <w:rPr>
          <w:rFonts w:hint="eastAsia" w:ascii="仿宋_GB2312" w:hAnsi="仿宋_GB2312" w:eastAsia="仿宋_GB2312" w:cs="仿宋_GB2312"/>
          <w:spacing w:val="-2"/>
          <w:sz w:val="32"/>
          <w:szCs w:val="32"/>
        </w:rPr>
        <w:t>购工程支出</w:t>
      </w:r>
      <w:r>
        <w:rPr>
          <w:rFonts w:hint="eastAsia" w:ascii="仿宋_GB2312" w:hAnsi="仿宋_GB2312" w:eastAsia="仿宋_GB2312" w:cs="仿宋_GB2312"/>
          <w:spacing w:val="-2"/>
          <w:sz w:val="32"/>
          <w:szCs w:val="32"/>
          <w:lang w:val="en-US" w:eastAsia="zh-CN"/>
        </w:rPr>
        <w:t>0</w:t>
      </w:r>
      <w:r>
        <w:rPr>
          <w:rFonts w:hint="eastAsia" w:ascii="仿宋_GB2312" w:hAnsi="仿宋_GB2312" w:eastAsia="仿宋_GB2312" w:cs="仿宋_GB2312"/>
          <w:spacing w:val="-2"/>
          <w:sz w:val="32"/>
          <w:szCs w:val="32"/>
          <w:lang w:val="en-US"/>
        </w:rPr>
        <w:t xml:space="preserve"> </w:t>
      </w:r>
      <w:r>
        <w:rPr>
          <w:rFonts w:hint="eastAsia" w:ascii="仿宋_GB2312" w:hAnsi="仿宋_GB2312" w:eastAsia="仿宋_GB2312" w:cs="仿宋_GB2312"/>
          <w:spacing w:val="-1"/>
          <w:sz w:val="32"/>
          <w:szCs w:val="32"/>
        </w:rPr>
        <w:t>万元</w:t>
      </w:r>
      <w:r>
        <w:rPr>
          <w:rFonts w:hint="eastAsia" w:ascii="仿宋_GB2312" w:hAnsi="仿宋_GB2312" w:eastAsia="仿宋_GB2312" w:cs="仿宋_GB2312"/>
          <w:sz w:val="32"/>
          <w:szCs w:val="32"/>
        </w:rPr>
        <w:t>。</w:t>
      </w:r>
    </w:p>
    <w:p w14:paraId="2545C68C">
      <w:pPr>
        <w:pStyle w:val="4"/>
        <w:spacing w:line="536" w:lineRule="exact"/>
        <w:ind w:left="2440"/>
        <w:jc w:val="both"/>
      </w:pPr>
      <w:r>
        <w:rPr>
          <w:rFonts w:hint="eastAsia" w:ascii="黑体" w:hAnsi="黑体" w:eastAsia="黑体" w:cs="黑体"/>
        </w:rPr>
        <w:t>十、国有资产占用情况说明</w:t>
      </w:r>
    </w:p>
    <w:p w14:paraId="2387CDA5">
      <w:pPr>
        <w:pStyle w:val="4"/>
        <w:keepNext w:val="0"/>
        <w:keepLines w:val="0"/>
        <w:pageBreakBefore w:val="0"/>
        <w:widowControl w:val="0"/>
        <w:kinsoku/>
        <w:wordWrap/>
        <w:overflowPunct/>
        <w:topLinePunct w:val="0"/>
        <w:autoSpaceDE w:val="0"/>
        <w:autoSpaceDN w:val="0"/>
        <w:bidi w:val="0"/>
        <w:adjustRightInd/>
        <w:snapToGrid/>
        <w:spacing w:before="67" w:line="269" w:lineRule="auto"/>
        <w:ind w:left="1803" w:right="1123"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截至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 12 月 31 日，消防救援队伍共有车辆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辆，其中：机要通信用车0辆、应急保障用车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p>
    <w:p w14:paraId="5FAE8A4B">
      <w:pPr>
        <w:pStyle w:val="4"/>
        <w:spacing w:line="530" w:lineRule="exact"/>
        <w:ind w:left="2440"/>
        <w:rPr>
          <w:rFonts w:hint="eastAsia" w:ascii="黑体" w:hAnsi="黑体" w:eastAsia="黑体" w:cs="黑体"/>
        </w:rPr>
      </w:pPr>
      <w:r>
        <w:rPr>
          <w:rFonts w:hint="eastAsia" w:ascii="黑体" w:hAnsi="黑体" w:eastAsia="黑体" w:cs="黑体"/>
        </w:rPr>
        <w:t>十一、预算绩效情况说明</w:t>
      </w:r>
    </w:p>
    <w:p w14:paraId="7B2B5FF8">
      <w:pPr>
        <w:spacing w:line="530" w:lineRule="exact"/>
        <w:sectPr>
          <w:pgSz w:w="11910" w:h="16840"/>
          <w:pgMar w:top="1500" w:right="0" w:bottom="1160" w:left="0" w:header="0" w:footer="895" w:gutter="0"/>
          <w:cols w:space="720" w:num="1"/>
        </w:sectPr>
      </w:pPr>
    </w:p>
    <w:p w14:paraId="515A7ACD">
      <w:pPr>
        <w:spacing w:line="515" w:lineRule="exact"/>
        <w:ind w:left="2440"/>
        <w:rPr>
          <w:rFonts w:ascii="Microsoft JhengHei" w:eastAsia="Microsoft JhengHei"/>
          <w:b/>
          <w:sz w:val="31"/>
        </w:rPr>
      </w:pPr>
      <w:r>
        <w:rPr>
          <w:rFonts w:hint="eastAsia" w:ascii="华文楷体" w:hAnsi="华文楷体" w:eastAsia="华文楷体" w:cstheme="minorBidi"/>
          <w:b w:val="0"/>
          <w:bCs w:val="0"/>
          <w:kern w:val="2"/>
          <w:sz w:val="32"/>
          <w:szCs w:val="32"/>
          <w:lang w:val="en-US" w:eastAsia="zh-CN" w:bidi="ar-SA"/>
        </w:rPr>
        <w:t>（一）预算绩效管理工作开展情况</w:t>
      </w:r>
    </w:p>
    <w:p w14:paraId="70759241">
      <w:pPr>
        <w:pStyle w:val="4"/>
        <w:keepNext w:val="0"/>
        <w:keepLines w:val="0"/>
        <w:pageBreakBefore w:val="0"/>
        <w:widowControl w:val="0"/>
        <w:kinsoku/>
        <w:wordWrap/>
        <w:overflowPunct/>
        <w:topLinePunct w:val="0"/>
        <w:autoSpaceDE w:val="0"/>
        <w:autoSpaceDN w:val="0"/>
        <w:bidi w:val="0"/>
        <w:adjustRightInd/>
        <w:snapToGrid/>
        <w:spacing w:before="67" w:line="269" w:lineRule="auto"/>
        <w:ind w:left="1803" w:right="1123"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根据预算绩效管理要求，大队本级组织对 2023年度一般公共预算项目支出全面开展绩效自评，其中，一级项目1个，共涉及资金7.5万元。</w:t>
      </w:r>
    </w:p>
    <w:p w14:paraId="79FCCFD0">
      <w:pPr>
        <w:pStyle w:val="3"/>
        <w:spacing w:line="556" w:lineRule="exact"/>
      </w:pPr>
      <w:r>
        <w:rPr>
          <w:rFonts w:hint="eastAsia" w:ascii="华文楷体" w:hAnsi="华文楷体" w:eastAsia="华文楷体" w:cstheme="minorBidi"/>
          <w:b w:val="0"/>
          <w:bCs w:val="0"/>
          <w:kern w:val="2"/>
          <w:sz w:val="32"/>
          <w:szCs w:val="32"/>
          <w:lang w:val="en-US" w:eastAsia="zh-CN" w:bidi="ar-SA"/>
        </w:rPr>
        <w:t>（二）部门决算中项目绩效自评结果</w:t>
      </w:r>
    </w:p>
    <w:p w14:paraId="4D824196">
      <w:pPr>
        <w:pStyle w:val="4"/>
        <w:keepNext w:val="0"/>
        <w:keepLines w:val="0"/>
        <w:pageBreakBefore w:val="0"/>
        <w:widowControl w:val="0"/>
        <w:kinsoku/>
        <w:wordWrap/>
        <w:overflowPunct/>
        <w:topLinePunct w:val="0"/>
        <w:autoSpaceDE w:val="0"/>
        <w:autoSpaceDN w:val="0"/>
        <w:bidi w:val="0"/>
        <w:adjustRightInd/>
        <w:snapToGrid/>
        <w:spacing w:before="67" w:line="269" w:lineRule="auto"/>
        <w:ind w:left="1803" w:right="1123"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本部门在今年部门决算公开中反映伙食补助项目绩效自评结</w:t>
      </w:r>
      <w:r>
        <w:rPr>
          <w:rFonts w:hint="eastAsia" w:ascii="仿宋_GB2312" w:hAnsi="仿宋_GB2312" w:eastAsia="仿宋_GB2312" w:cs="仿宋_GB2312"/>
          <w:b w:val="0"/>
          <w:bCs w:val="0"/>
          <w:sz w:val="32"/>
          <w:szCs w:val="32"/>
        </w:rPr>
        <w:t>果。</w:t>
      </w:r>
    </w:p>
    <w:p w14:paraId="37234B4D">
      <w:pPr>
        <w:keepNext w:val="0"/>
        <w:keepLines w:val="0"/>
        <w:pageBreakBefore w:val="0"/>
        <w:widowControl w:val="0"/>
        <w:kinsoku/>
        <w:wordWrap/>
        <w:overflowPunct/>
        <w:topLinePunct w:val="0"/>
        <w:autoSpaceDE w:val="0"/>
        <w:autoSpaceDN w:val="0"/>
        <w:bidi w:val="0"/>
        <w:adjustRightInd/>
        <w:snapToGrid/>
        <w:spacing w:before="67" w:line="269" w:lineRule="auto"/>
        <w:ind w:left="1803" w:right="1123" w:firstLine="616" w:firstLineChars="200"/>
        <w:jc w:val="both"/>
        <w:textAlignment w:val="auto"/>
        <w:rPr>
          <w:b w:val="0"/>
          <w:bCs w:val="0"/>
        </w:rPr>
      </w:pPr>
      <w:r>
        <w:rPr>
          <w:rFonts w:hint="eastAsia" w:ascii="仿宋_GB2312" w:hAnsi="仿宋_GB2312" w:eastAsia="仿宋_GB2312" w:cs="仿宋_GB2312"/>
          <w:b w:val="0"/>
          <w:bCs w:val="0"/>
          <w:spacing w:val="-6"/>
          <w:sz w:val="32"/>
          <w:szCs w:val="32"/>
        </w:rPr>
        <w:t>伙食补助项目绩效自评综述：</w:t>
      </w:r>
      <w:r>
        <w:rPr>
          <w:rFonts w:hint="eastAsia" w:ascii="仿宋_GB2312" w:hAnsi="仿宋_GB2312" w:eastAsia="仿宋_GB2312" w:cs="仿宋_GB2312"/>
          <w:b w:val="0"/>
          <w:bCs w:val="0"/>
          <w:spacing w:val="-7"/>
          <w:sz w:val="32"/>
          <w:szCs w:val="32"/>
        </w:rPr>
        <w:t>根据年初设定的绩效目标，项</w:t>
      </w:r>
      <w:r>
        <w:rPr>
          <w:rFonts w:hint="eastAsia" w:ascii="仿宋_GB2312" w:hAnsi="仿宋_GB2312" w:eastAsia="仿宋_GB2312" w:cs="仿宋_GB2312"/>
          <w:b w:val="0"/>
          <w:bCs w:val="0"/>
          <w:spacing w:val="-2"/>
          <w:sz w:val="32"/>
          <w:szCs w:val="32"/>
        </w:rPr>
        <w:t>目自评得分</w:t>
      </w:r>
      <w:r>
        <w:rPr>
          <w:rFonts w:hint="eastAsia" w:ascii="仿宋_GB2312" w:hAnsi="仿宋_GB2312" w:eastAsia="仿宋_GB2312" w:cs="仿宋_GB2312"/>
          <w:b w:val="0"/>
          <w:bCs w:val="0"/>
          <w:spacing w:val="-2"/>
          <w:sz w:val="32"/>
          <w:szCs w:val="32"/>
          <w:lang w:val="en-US" w:eastAsia="zh-CN"/>
        </w:rPr>
        <w:t>10</w:t>
      </w:r>
      <w:r>
        <w:rPr>
          <w:rFonts w:hint="eastAsia" w:ascii="仿宋_GB2312" w:hAnsi="仿宋_GB2312" w:eastAsia="仿宋_GB2312" w:cs="仿宋_GB2312"/>
          <w:b w:val="0"/>
          <w:bCs w:val="0"/>
          <w:sz w:val="32"/>
          <w:szCs w:val="32"/>
          <w:lang w:val="en-US"/>
        </w:rPr>
        <w:t>0</w:t>
      </w:r>
      <w:r>
        <w:rPr>
          <w:rFonts w:hint="eastAsia" w:ascii="仿宋_GB2312" w:hAnsi="仿宋_GB2312" w:eastAsia="仿宋_GB2312" w:cs="仿宋_GB2312"/>
          <w:b w:val="0"/>
          <w:bCs w:val="0"/>
          <w:spacing w:val="-2"/>
          <w:sz w:val="32"/>
          <w:szCs w:val="32"/>
        </w:rPr>
        <w:t xml:space="preserve">分。项目全年预算数为 </w:t>
      </w:r>
      <w:r>
        <w:rPr>
          <w:rFonts w:hint="eastAsia" w:ascii="仿宋_GB2312" w:hAnsi="仿宋_GB2312" w:eastAsia="仿宋_GB2312" w:cs="仿宋_GB2312"/>
          <w:b w:val="0"/>
          <w:bCs w:val="0"/>
          <w:sz w:val="32"/>
          <w:szCs w:val="32"/>
          <w:lang w:val="en-US" w:eastAsia="zh-CN"/>
        </w:rPr>
        <w:t>7.5</w:t>
      </w:r>
      <w:r>
        <w:rPr>
          <w:rFonts w:hint="eastAsia" w:ascii="仿宋_GB2312" w:hAnsi="仿宋_GB2312" w:eastAsia="仿宋_GB2312" w:cs="仿宋_GB2312"/>
          <w:b w:val="0"/>
          <w:bCs w:val="0"/>
          <w:sz w:val="32"/>
          <w:szCs w:val="32"/>
        </w:rPr>
        <w:t>万元，执行数为</w:t>
      </w:r>
      <w:r>
        <w:rPr>
          <w:rFonts w:hint="eastAsia" w:ascii="仿宋_GB2312" w:hAnsi="仿宋_GB2312" w:eastAsia="仿宋_GB2312" w:cs="仿宋_GB2312"/>
          <w:b w:val="0"/>
          <w:bCs w:val="0"/>
          <w:sz w:val="32"/>
          <w:szCs w:val="32"/>
          <w:lang w:val="en-US" w:eastAsia="zh-CN"/>
        </w:rPr>
        <w:t>7.5</w:t>
      </w:r>
      <w:r>
        <w:rPr>
          <w:rFonts w:hint="eastAsia" w:ascii="仿宋_GB2312" w:hAnsi="仿宋_GB2312" w:eastAsia="仿宋_GB2312" w:cs="仿宋_GB2312"/>
          <w:b w:val="0"/>
          <w:bCs w:val="0"/>
          <w:sz w:val="32"/>
          <w:szCs w:val="32"/>
        </w:rPr>
        <w:t>万元，完成预算的</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%。项目绩效目标完成情况：科学</w:t>
      </w:r>
      <w:r>
        <w:rPr>
          <w:rFonts w:hint="eastAsia" w:ascii="仿宋_GB2312" w:hAnsi="仿宋_GB2312" w:eastAsia="仿宋_GB2312" w:cs="仿宋_GB2312"/>
          <w:b w:val="0"/>
          <w:bCs w:val="0"/>
          <w:spacing w:val="-12"/>
          <w:w w:val="95"/>
          <w:sz w:val="32"/>
          <w:szCs w:val="32"/>
        </w:rPr>
        <w:t>调剂伙食，保证消防救援指战员营养和体能消耗需要，提升队伍</w:t>
      </w:r>
      <w:r>
        <w:rPr>
          <w:rFonts w:hint="eastAsia" w:ascii="仿宋_GB2312" w:hAnsi="仿宋_GB2312" w:eastAsia="仿宋_GB2312" w:cs="仿宋_GB2312"/>
          <w:b w:val="0"/>
          <w:bCs w:val="0"/>
          <w:spacing w:val="-6"/>
          <w:sz w:val="32"/>
          <w:szCs w:val="32"/>
        </w:rPr>
        <w:t xml:space="preserve">战斗力，预算执行率达到 </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w:t>
      </w:r>
    </w:p>
    <w:p w14:paraId="4E406DF1">
      <w:pPr>
        <w:spacing w:line="232" w:lineRule="auto"/>
        <w:rPr>
          <w:b w:val="0"/>
          <w:bCs w:val="0"/>
        </w:rPr>
        <w:sectPr>
          <w:pgSz w:w="11910" w:h="16840"/>
          <w:pgMar w:top="1500" w:right="0" w:bottom="1160" w:left="0" w:header="0" w:footer="895" w:gutter="0"/>
          <w:cols w:space="720" w:num="1"/>
        </w:sectPr>
      </w:pPr>
    </w:p>
    <w:p w14:paraId="650A3447">
      <w:pPr>
        <w:pStyle w:val="4"/>
        <w:spacing w:before="1"/>
        <w:rPr>
          <w:rFonts w:ascii="Times New Roman"/>
          <w:sz w:val="4"/>
        </w:rPr>
      </w:pPr>
    </w:p>
    <w:p w14:paraId="452F3B96">
      <w:pPr>
        <w:pStyle w:val="4"/>
        <w:ind w:left="1887"/>
        <w:rPr>
          <w:rFonts w:ascii="Times New Roman"/>
          <w:sz w:val="20"/>
        </w:rPr>
      </w:pPr>
    </w:p>
    <w:p w14:paraId="0822BEB5">
      <w:pPr>
        <w:jc w:val="center"/>
        <w:rPr>
          <w:rFonts w:ascii="Times New Roman"/>
          <w:sz w:val="20"/>
        </w:rPr>
        <w:sectPr>
          <w:pgSz w:w="11910" w:h="16840"/>
          <w:pgMar w:top="1580" w:right="0" w:bottom="1080" w:left="0" w:header="0" w:footer="895" w:gutter="0"/>
          <w:cols w:space="720" w:num="1"/>
        </w:sectPr>
      </w:pPr>
      <w:r>
        <w:drawing>
          <wp:inline distT="0" distB="0" distL="114300" distR="114300">
            <wp:extent cx="6800850" cy="3962400"/>
            <wp:effectExtent l="0" t="0" r="0" b="0"/>
            <wp:docPr id="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0"/>
                    <pic:cNvPicPr>
                      <a:picLocks noChangeAspect="1"/>
                    </pic:cNvPicPr>
                  </pic:nvPicPr>
                  <pic:blipFill>
                    <a:blip r:embed="rId21"/>
                    <a:stretch>
                      <a:fillRect/>
                    </a:stretch>
                  </pic:blipFill>
                  <pic:spPr>
                    <a:xfrm>
                      <a:off x="0" y="0"/>
                      <a:ext cx="6800850" cy="3962400"/>
                    </a:xfrm>
                    <a:prstGeom prst="rect">
                      <a:avLst/>
                    </a:prstGeom>
                    <a:noFill/>
                    <a:ln>
                      <a:noFill/>
                    </a:ln>
                  </pic:spPr>
                </pic:pic>
              </a:graphicData>
            </a:graphic>
          </wp:inline>
        </w:drawing>
      </w:r>
    </w:p>
    <w:p w14:paraId="0C303757">
      <w:pPr>
        <w:pStyle w:val="4"/>
        <w:rPr>
          <w:rFonts w:ascii="Times New Roman"/>
          <w:sz w:val="20"/>
        </w:rPr>
      </w:pPr>
      <w:r>
        <mc:AlternateContent>
          <mc:Choice Requires="wps">
            <w:drawing>
              <wp:anchor distT="0" distB="0" distL="114300" distR="114300" simplePos="0" relativeHeight="251669504" behindDoc="0" locked="0" layoutInCell="1" allowOverlap="1">
                <wp:simplePos x="0" y="0"/>
                <wp:positionH relativeFrom="page">
                  <wp:posOffset>0</wp:posOffset>
                </wp:positionH>
                <wp:positionV relativeFrom="page">
                  <wp:posOffset>4572000</wp:posOffset>
                </wp:positionV>
                <wp:extent cx="7559675" cy="25400"/>
                <wp:effectExtent l="0" t="0" r="3175" b="3175"/>
                <wp:wrapNone/>
                <wp:docPr id="8" name="矩形 8"/>
                <wp:cNvGraphicFramePr/>
                <a:graphic xmlns:a="http://schemas.openxmlformats.org/drawingml/2006/main">
                  <a:graphicData uri="http://schemas.microsoft.com/office/word/2010/wordprocessingShape">
                    <wps:wsp>
                      <wps:cNvSpPr/>
                      <wps:spPr>
                        <a:xfrm>
                          <a:off x="0" y="0"/>
                          <a:ext cx="7559675" cy="25400"/>
                        </a:xfrm>
                        <a:prstGeom prst="rect">
                          <a:avLst/>
                        </a:prstGeom>
                        <a:solidFill>
                          <a:srgbClr val="385D89"/>
                        </a:solidFill>
                        <a:ln>
                          <a:noFill/>
                        </a:ln>
                      </wps:spPr>
                      <wps:bodyPr upright="1"/>
                    </wps:wsp>
                  </a:graphicData>
                </a:graphic>
              </wp:anchor>
            </w:drawing>
          </mc:Choice>
          <mc:Fallback>
            <w:pict>
              <v:rect id="_x0000_s1026" o:spid="_x0000_s1026" o:spt="1" style="position:absolute;left:0pt;margin-left:0pt;margin-top:360pt;height:2pt;width:595.25pt;mso-position-horizontal-relative:page;mso-position-vertical-relative:page;z-index:251669504;mso-width-relative:page;mso-height-relative:page;" fillcolor="#385D89" filled="t" stroked="f" coordsize="21600,21600" o:gfxdata="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QNa+dUAAAAJAQAADwAAAAAAAAABACAAAAAiAAAAZHJzL2Rvd25yZXYueG1sUEsBAhQAFAAAAAgA&#10;h07iQLCw8De2AQAAXgMAAA4AAAAAAAAAAQAgAAAAJA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251670528" behindDoc="0" locked="0" layoutInCell="1" allowOverlap="1">
                <wp:simplePos x="0" y="0"/>
                <wp:positionH relativeFrom="page">
                  <wp:posOffset>0</wp:posOffset>
                </wp:positionH>
                <wp:positionV relativeFrom="page">
                  <wp:posOffset>6484620</wp:posOffset>
                </wp:positionV>
                <wp:extent cx="7559675" cy="25400"/>
                <wp:effectExtent l="0" t="0" r="3175" b="3175"/>
                <wp:wrapNone/>
                <wp:docPr id="9" name="矩形 9"/>
                <wp:cNvGraphicFramePr/>
                <a:graphic xmlns:a="http://schemas.openxmlformats.org/drawingml/2006/main">
                  <a:graphicData uri="http://schemas.microsoft.com/office/word/2010/wordprocessingShape">
                    <wps:wsp>
                      <wps:cNvSpPr/>
                      <wps:spPr>
                        <a:xfrm>
                          <a:off x="0" y="0"/>
                          <a:ext cx="7559675" cy="25400"/>
                        </a:xfrm>
                        <a:prstGeom prst="rect">
                          <a:avLst/>
                        </a:prstGeom>
                        <a:solidFill>
                          <a:srgbClr val="385D89"/>
                        </a:solidFill>
                        <a:ln>
                          <a:noFill/>
                        </a:ln>
                      </wps:spPr>
                      <wps:bodyPr upright="1"/>
                    </wps:wsp>
                  </a:graphicData>
                </a:graphic>
              </wp:anchor>
            </w:drawing>
          </mc:Choice>
          <mc:Fallback>
            <w:pict>
              <v:rect id="_x0000_s1026" o:spid="_x0000_s1026" o:spt="1" style="position:absolute;left:0pt;margin-left:0pt;margin-top:510.6pt;height:2pt;width:595.25pt;mso-position-horizontal-relative:page;mso-position-vertical-relative:page;z-index:251670528;mso-width-relative:page;mso-height-relative:page;" fillcolor="#385D89" filled="t" stroked="f" coordsize="21600,21600" o:gfxdata="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agOf51wAAAAsBAAAPAAAAAAAAAAEAIAAAACIAAABkcnMvZG93bnJldi54bWxQSwECFAAUAAAA&#10;CACHTuJAynYvULYBAABeAwAADgAAAAAAAAABACAAAAAmAQAAZHJzL2Uyb0RvYy54bWxQSwUGAAAA&#10;AAYABgBZAQAATgUAAAAA&#10;">
                <v:fill on="t" focussize="0,0"/>
                <v:stroke on="f"/>
                <v:imagedata o:title=""/>
                <o:lock v:ext="edit" aspectratio="f"/>
              </v:rect>
            </w:pict>
          </mc:Fallback>
        </mc:AlternateContent>
      </w:r>
    </w:p>
    <w:p w14:paraId="56438E85">
      <w:pPr>
        <w:pStyle w:val="4"/>
        <w:rPr>
          <w:rFonts w:ascii="Times New Roman"/>
          <w:sz w:val="20"/>
        </w:rPr>
      </w:pPr>
    </w:p>
    <w:p w14:paraId="4E38C490">
      <w:pPr>
        <w:pStyle w:val="4"/>
        <w:rPr>
          <w:rFonts w:ascii="Times New Roman"/>
          <w:sz w:val="20"/>
        </w:rPr>
      </w:pPr>
    </w:p>
    <w:p w14:paraId="2697B09F">
      <w:pPr>
        <w:pStyle w:val="4"/>
        <w:rPr>
          <w:rFonts w:ascii="Times New Roman"/>
          <w:sz w:val="20"/>
        </w:rPr>
      </w:pPr>
    </w:p>
    <w:p w14:paraId="3CC92109">
      <w:pPr>
        <w:pStyle w:val="4"/>
        <w:rPr>
          <w:rFonts w:ascii="Times New Roman"/>
          <w:sz w:val="20"/>
        </w:rPr>
      </w:pPr>
    </w:p>
    <w:p w14:paraId="38DB234E">
      <w:pPr>
        <w:pStyle w:val="4"/>
        <w:rPr>
          <w:rFonts w:ascii="Times New Roman"/>
          <w:sz w:val="20"/>
        </w:rPr>
      </w:pPr>
    </w:p>
    <w:p w14:paraId="60FE97A1">
      <w:pPr>
        <w:pStyle w:val="4"/>
        <w:rPr>
          <w:rFonts w:ascii="Times New Roman"/>
          <w:sz w:val="20"/>
        </w:rPr>
      </w:pPr>
    </w:p>
    <w:p w14:paraId="797D9DE4">
      <w:pPr>
        <w:pStyle w:val="4"/>
        <w:rPr>
          <w:rFonts w:ascii="Times New Roman"/>
          <w:sz w:val="20"/>
        </w:rPr>
      </w:pPr>
    </w:p>
    <w:p w14:paraId="478F1A55">
      <w:pPr>
        <w:pStyle w:val="4"/>
        <w:rPr>
          <w:rFonts w:ascii="Times New Roman"/>
          <w:sz w:val="20"/>
        </w:rPr>
      </w:pPr>
    </w:p>
    <w:p w14:paraId="5E9F9D94">
      <w:pPr>
        <w:pStyle w:val="4"/>
        <w:rPr>
          <w:rFonts w:ascii="Times New Roman"/>
          <w:sz w:val="20"/>
        </w:rPr>
      </w:pPr>
    </w:p>
    <w:p w14:paraId="680D25EE">
      <w:pPr>
        <w:pStyle w:val="4"/>
        <w:rPr>
          <w:rFonts w:ascii="Times New Roman"/>
          <w:sz w:val="20"/>
        </w:rPr>
      </w:pPr>
    </w:p>
    <w:p w14:paraId="27B7C73D">
      <w:pPr>
        <w:pStyle w:val="4"/>
        <w:rPr>
          <w:rFonts w:ascii="Times New Roman"/>
          <w:sz w:val="20"/>
        </w:rPr>
      </w:pPr>
    </w:p>
    <w:p w14:paraId="5C089DEB">
      <w:pPr>
        <w:pStyle w:val="4"/>
        <w:rPr>
          <w:rFonts w:ascii="Times New Roman"/>
          <w:sz w:val="20"/>
        </w:rPr>
      </w:pPr>
    </w:p>
    <w:p w14:paraId="33B47E1B">
      <w:pPr>
        <w:pStyle w:val="4"/>
        <w:rPr>
          <w:rFonts w:ascii="Times New Roman"/>
          <w:sz w:val="20"/>
        </w:rPr>
      </w:pPr>
    </w:p>
    <w:p w14:paraId="7CBC3CA4">
      <w:pPr>
        <w:pStyle w:val="4"/>
        <w:rPr>
          <w:rFonts w:ascii="Times New Roman"/>
          <w:sz w:val="20"/>
        </w:rPr>
      </w:pPr>
    </w:p>
    <w:p w14:paraId="49C07BD0">
      <w:pPr>
        <w:pStyle w:val="4"/>
        <w:rPr>
          <w:rFonts w:ascii="Times New Roman"/>
          <w:sz w:val="20"/>
        </w:rPr>
      </w:pPr>
    </w:p>
    <w:p w14:paraId="3D4E0B67">
      <w:pPr>
        <w:pStyle w:val="4"/>
        <w:rPr>
          <w:rFonts w:ascii="Times New Roman"/>
          <w:sz w:val="20"/>
        </w:rPr>
      </w:pPr>
    </w:p>
    <w:p w14:paraId="301FD37F">
      <w:pPr>
        <w:pStyle w:val="4"/>
        <w:rPr>
          <w:rFonts w:ascii="Times New Roman"/>
          <w:sz w:val="20"/>
        </w:rPr>
      </w:pPr>
    </w:p>
    <w:p w14:paraId="6C269B4A">
      <w:pPr>
        <w:pStyle w:val="4"/>
        <w:rPr>
          <w:rFonts w:ascii="Times New Roman"/>
          <w:sz w:val="20"/>
        </w:rPr>
      </w:pPr>
    </w:p>
    <w:p w14:paraId="1CD053E1">
      <w:pPr>
        <w:pStyle w:val="4"/>
        <w:rPr>
          <w:rFonts w:ascii="Times New Roman"/>
          <w:sz w:val="20"/>
        </w:rPr>
      </w:pPr>
    </w:p>
    <w:p w14:paraId="3089E42B">
      <w:pPr>
        <w:pStyle w:val="4"/>
        <w:rPr>
          <w:rFonts w:ascii="Times New Roman"/>
          <w:sz w:val="20"/>
        </w:rPr>
      </w:pPr>
    </w:p>
    <w:p w14:paraId="1931CD62">
      <w:pPr>
        <w:pStyle w:val="4"/>
        <w:rPr>
          <w:rFonts w:ascii="Times New Roman"/>
          <w:sz w:val="20"/>
        </w:rPr>
      </w:pPr>
    </w:p>
    <w:p w14:paraId="4EF0F9BF">
      <w:pPr>
        <w:pStyle w:val="4"/>
        <w:rPr>
          <w:rFonts w:ascii="Times New Roman"/>
          <w:sz w:val="20"/>
        </w:rPr>
      </w:pPr>
    </w:p>
    <w:p w14:paraId="25FCD597">
      <w:pPr>
        <w:pStyle w:val="4"/>
        <w:rPr>
          <w:rFonts w:ascii="Times New Roman"/>
          <w:sz w:val="20"/>
        </w:rPr>
      </w:pPr>
    </w:p>
    <w:p w14:paraId="6A7771F3">
      <w:pPr>
        <w:pStyle w:val="4"/>
        <w:spacing w:before="7"/>
        <w:rPr>
          <w:rFonts w:ascii="Times New Roman"/>
          <w:sz w:val="10"/>
        </w:rPr>
      </w:pPr>
    </w:p>
    <w:p w14:paraId="52AE4AEE">
      <w:pPr>
        <w:pStyle w:val="4"/>
        <w:ind w:right="-58"/>
        <w:rPr>
          <w:rFonts w:ascii="Times New Roman"/>
          <w:sz w:val="20"/>
        </w:rPr>
      </w:pPr>
      <w:r>
        <w:rPr>
          <w:rFonts w:ascii="Times New Roman"/>
          <w:sz w:val="20"/>
        </w:rPr>
        <mc:AlternateContent>
          <mc:Choice Requires="wps">
            <w:drawing>
              <wp:inline distT="0" distB="0" distL="114300" distR="114300">
                <wp:extent cx="7560310" cy="1887220"/>
                <wp:effectExtent l="0" t="0" r="2540" b="17780"/>
                <wp:docPr id="10" name="文本框 10"/>
                <wp:cNvGraphicFramePr/>
                <a:graphic xmlns:a="http://schemas.openxmlformats.org/drawingml/2006/main">
                  <a:graphicData uri="http://schemas.microsoft.com/office/word/2010/wordprocessingShape">
                    <wps:wsp>
                      <wps:cNvSpPr txBox="1"/>
                      <wps:spPr>
                        <a:xfrm>
                          <a:off x="0" y="0"/>
                          <a:ext cx="7560310" cy="1887220"/>
                        </a:xfrm>
                        <a:prstGeom prst="rect">
                          <a:avLst/>
                        </a:prstGeom>
                        <a:solidFill>
                          <a:srgbClr val="94B3D6"/>
                        </a:solidFill>
                        <a:ln>
                          <a:noFill/>
                        </a:ln>
                      </wps:spPr>
                      <wps:txbx>
                        <w:txbxContent>
                          <w:p w14:paraId="094FC18C">
                            <w:pPr>
                              <w:tabs>
                                <w:tab w:val="left" w:pos="2383"/>
                              </w:tabs>
                              <w:spacing w:before="361"/>
                              <w:ind w:left="34"/>
                              <w:jc w:val="center"/>
                              <w:rPr>
                                <w:rFonts w:ascii="Microsoft JhengHei" w:eastAsia="Microsoft JhengHei"/>
                                <w:b/>
                                <w:sz w:val="52"/>
                              </w:rPr>
                            </w:pPr>
                            <w:r>
                              <w:rPr>
                                <w:rFonts w:hint="eastAsia" w:ascii="Microsoft JhengHei" w:eastAsia="Microsoft JhengHei"/>
                                <w:b/>
                                <w:sz w:val="52"/>
                              </w:rPr>
                              <w:t>第四部分</w:t>
                            </w:r>
                            <w:r>
                              <w:rPr>
                                <w:rFonts w:hint="eastAsia" w:ascii="Microsoft JhengHei" w:eastAsia="Microsoft JhengHei"/>
                                <w:b/>
                                <w:sz w:val="52"/>
                              </w:rPr>
                              <w:tab/>
                            </w:r>
                            <w:r>
                              <w:rPr>
                                <w:rFonts w:hint="eastAsia" w:ascii="Microsoft JhengHei" w:eastAsia="Microsoft JhengHei"/>
                                <w:b/>
                                <w:sz w:val="52"/>
                              </w:rPr>
                              <w:t>名词解释</w:t>
                            </w:r>
                          </w:p>
                        </w:txbxContent>
                      </wps:txbx>
                      <wps:bodyPr lIns="0" tIns="0" rIns="0" bIns="0" upright="1"/>
                    </wps:wsp>
                  </a:graphicData>
                </a:graphic>
              </wp:inline>
            </w:drawing>
          </mc:Choice>
          <mc:Fallback>
            <w:pict>
              <v:shape id="_x0000_s1026" o:spid="_x0000_s1026" o:spt="202" type="#_x0000_t202" style="height:148.6pt;width:595.3pt;" fillcolor="#94B3D6" filled="t" stroked="f" coordsize="21600,21600" o:gfxdata="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UOnFdUAAAAGAQAADwAAAAAAAAABACAAAAAi&#10;AAAAZHJzL2Rvd25yZXYueG1sUEsBAhQAFAAAAAgAh07iQKBMkIzUAQAAngMAAA4AAAAAAAAAAQAg&#10;AAAAJAEAAGRycy9lMm9Eb2MueG1sUEsFBgAAAAAGAAYAWQEAAGoFAAAAAA==&#10;">
                <v:fill on="t" focussize="0,0"/>
                <v:stroke on="f"/>
                <v:imagedata o:title=""/>
                <o:lock v:ext="edit" aspectratio="f"/>
                <v:textbox inset="0mm,0mm,0mm,0mm">
                  <w:txbxContent>
                    <w:p w14:paraId="094FC18C">
                      <w:pPr>
                        <w:tabs>
                          <w:tab w:val="left" w:pos="2383"/>
                        </w:tabs>
                        <w:spacing w:before="361"/>
                        <w:ind w:left="34"/>
                        <w:jc w:val="center"/>
                        <w:rPr>
                          <w:rFonts w:ascii="Microsoft JhengHei" w:eastAsia="Microsoft JhengHei"/>
                          <w:b/>
                          <w:sz w:val="52"/>
                        </w:rPr>
                      </w:pPr>
                      <w:r>
                        <w:rPr>
                          <w:rFonts w:hint="eastAsia" w:ascii="Microsoft JhengHei" w:eastAsia="Microsoft JhengHei"/>
                          <w:b/>
                          <w:sz w:val="52"/>
                        </w:rPr>
                        <w:t>第四部分</w:t>
                      </w:r>
                      <w:r>
                        <w:rPr>
                          <w:rFonts w:hint="eastAsia" w:ascii="Microsoft JhengHei" w:eastAsia="Microsoft JhengHei"/>
                          <w:b/>
                          <w:sz w:val="52"/>
                        </w:rPr>
                        <w:tab/>
                      </w:r>
                      <w:r>
                        <w:rPr>
                          <w:rFonts w:hint="eastAsia" w:ascii="Microsoft JhengHei" w:eastAsia="Microsoft JhengHei"/>
                          <w:b/>
                          <w:sz w:val="52"/>
                        </w:rPr>
                        <w:t>名词解释</w:t>
                      </w:r>
                    </w:p>
                  </w:txbxContent>
                </v:textbox>
                <w10:wrap type="none"/>
                <w10:anchorlock/>
              </v:shape>
            </w:pict>
          </mc:Fallback>
        </mc:AlternateContent>
      </w:r>
    </w:p>
    <w:p w14:paraId="2881382C">
      <w:pPr>
        <w:rPr>
          <w:rFonts w:ascii="Times New Roman"/>
          <w:sz w:val="20"/>
        </w:rPr>
        <w:sectPr>
          <w:pgSz w:w="11910" w:h="16840"/>
          <w:pgMar w:top="1580" w:right="0" w:bottom="1080" w:left="0" w:header="0" w:footer="895" w:gutter="0"/>
          <w:cols w:space="720" w:num="1"/>
        </w:sectPr>
      </w:pPr>
    </w:p>
    <w:p w14:paraId="3009C2F5">
      <w:pPr>
        <w:spacing w:line="520"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pacing w:val="-77"/>
          <w:sz w:val="32"/>
          <w:szCs w:val="32"/>
        </w:rPr>
        <w:t>）</w:t>
      </w:r>
      <w:r>
        <w:rPr>
          <w:rFonts w:hint="eastAsia" w:ascii="仿宋_GB2312" w:hAnsi="仿宋_GB2312" w:eastAsia="仿宋_GB2312" w:cs="仿宋_GB2312"/>
          <w:b/>
          <w:spacing w:val="-6"/>
          <w:sz w:val="32"/>
          <w:szCs w:val="32"/>
        </w:rPr>
        <w:t>一般公共预算财政拨款收入：</w:t>
      </w:r>
      <w:r>
        <w:rPr>
          <w:rFonts w:hint="eastAsia" w:ascii="仿宋_GB2312" w:hAnsi="仿宋_GB2312" w:eastAsia="仿宋_GB2312" w:cs="仿宋_GB2312"/>
          <w:sz w:val="32"/>
          <w:szCs w:val="32"/>
        </w:rPr>
        <w:t>指中央财政当年拨付的</w:t>
      </w:r>
    </w:p>
    <w:p w14:paraId="2D6FB37D">
      <w:pPr>
        <w:pStyle w:val="4"/>
        <w:spacing w:line="519"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w:t>
      </w:r>
    </w:p>
    <w:p w14:paraId="58B73635">
      <w:pPr>
        <w:spacing w:line="561"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spacing w:val="-72"/>
          <w:sz w:val="32"/>
          <w:szCs w:val="32"/>
        </w:rPr>
        <w:t>）</w:t>
      </w:r>
      <w:r>
        <w:rPr>
          <w:rFonts w:hint="eastAsia" w:ascii="仿宋_GB2312" w:hAnsi="仿宋_GB2312" w:eastAsia="仿宋_GB2312" w:cs="仿宋_GB2312"/>
          <w:b/>
          <w:spacing w:val="-15"/>
          <w:sz w:val="32"/>
          <w:szCs w:val="32"/>
        </w:rPr>
        <w:t>事业收入：</w:t>
      </w:r>
      <w:r>
        <w:rPr>
          <w:rFonts w:hint="eastAsia" w:ascii="仿宋_GB2312" w:hAnsi="仿宋_GB2312" w:eastAsia="仿宋_GB2312" w:cs="仿宋_GB2312"/>
          <w:sz w:val="32"/>
          <w:szCs w:val="32"/>
        </w:rPr>
        <w:t>指事业单位开展专业业务活动及辅助活动</w:t>
      </w:r>
    </w:p>
    <w:p w14:paraId="134CE09E">
      <w:pPr>
        <w:pStyle w:val="4"/>
        <w:spacing w:before="3" w:line="232" w:lineRule="auto"/>
        <w:ind w:left="1800" w:right="1284"/>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所取得的收入。如唐山市消防救援支队本级所主管科研单位开展专用产品检测等专业业务活动及辅助活动所取得的收入。</w:t>
      </w:r>
    </w:p>
    <w:p w14:paraId="131718B8">
      <w:pPr>
        <w:spacing w:line="536"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（三）其他收入：</w:t>
      </w:r>
      <w:r>
        <w:rPr>
          <w:rFonts w:hint="eastAsia" w:ascii="仿宋_GB2312" w:hAnsi="仿宋_GB2312" w:eastAsia="仿宋_GB2312" w:cs="仿宋_GB2312"/>
          <w:sz w:val="32"/>
          <w:szCs w:val="32"/>
        </w:rPr>
        <w:t>指除上述“一般公共预算财政拨款收入”、</w:t>
      </w:r>
    </w:p>
    <w:p w14:paraId="1BAC846F">
      <w:pPr>
        <w:pStyle w:val="4"/>
        <w:spacing w:line="519"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“事业收入”、“事业单位经营收入”等以外的收入。</w:t>
      </w:r>
    </w:p>
    <w:p w14:paraId="0076A675">
      <w:pPr>
        <w:spacing w:line="561"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w:t>
      </w:r>
      <w:r>
        <w:rPr>
          <w:rFonts w:hint="eastAsia" w:ascii="仿宋_GB2312" w:hAnsi="仿宋_GB2312" w:eastAsia="仿宋_GB2312" w:cs="仿宋_GB2312"/>
          <w:b/>
          <w:spacing w:val="-77"/>
          <w:sz w:val="32"/>
          <w:szCs w:val="32"/>
        </w:rPr>
        <w:t>）</w:t>
      </w:r>
      <w:r>
        <w:rPr>
          <w:rFonts w:hint="eastAsia" w:ascii="仿宋_GB2312" w:hAnsi="仿宋_GB2312" w:eastAsia="仿宋_GB2312" w:cs="仿宋_GB2312"/>
          <w:b/>
          <w:spacing w:val="-8"/>
          <w:sz w:val="32"/>
          <w:szCs w:val="32"/>
        </w:rPr>
        <w:t>使用非财政拨款结余：</w:t>
      </w:r>
      <w:r>
        <w:rPr>
          <w:rFonts w:hint="eastAsia" w:ascii="仿宋_GB2312" w:hAnsi="仿宋_GB2312" w:eastAsia="仿宋_GB2312" w:cs="仿宋_GB2312"/>
          <w:sz w:val="32"/>
          <w:szCs w:val="32"/>
        </w:rPr>
        <w:t>指事业单位使用以前年度积累</w:t>
      </w:r>
    </w:p>
    <w:p w14:paraId="76AAC722">
      <w:pPr>
        <w:pStyle w:val="4"/>
        <w:spacing w:line="519"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的非财政拨款结余弥补当年收支差额的金额。</w:t>
      </w:r>
    </w:p>
    <w:p w14:paraId="15FEC510">
      <w:pPr>
        <w:spacing w:line="561"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（五）年初结转和结余：</w:t>
      </w:r>
      <w:r>
        <w:rPr>
          <w:rFonts w:hint="eastAsia" w:ascii="仿宋_GB2312" w:hAnsi="仿宋_GB2312" w:eastAsia="仿宋_GB2312" w:cs="仿宋_GB2312"/>
          <w:sz w:val="32"/>
          <w:szCs w:val="32"/>
        </w:rPr>
        <w:t>指单位以前年度尚未完成、结转到</w:t>
      </w:r>
    </w:p>
    <w:p w14:paraId="2B229A86">
      <w:pPr>
        <w:pStyle w:val="4"/>
        <w:spacing w:line="519"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本年按有关规定继续使用的资金。</w:t>
      </w:r>
    </w:p>
    <w:p w14:paraId="65FF8F2A">
      <w:pPr>
        <w:pStyle w:val="3"/>
        <w:spacing w:line="556" w:lineRule="exact"/>
        <w:rPr>
          <w:rFonts w:hint="eastAsia" w:ascii="仿宋_GB2312" w:hAnsi="仿宋_GB2312" w:eastAsia="仿宋_GB2312" w:cs="仿宋_GB2312"/>
          <w:sz w:val="32"/>
          <w:szCs w:val="32"/>
        </w:rPr>
      </w:pPr>
      <w:r>
        <w:rPr>
          <w:rFonts w:hint="eastAsia" w:ascii="仿宋_GB2312" w:hAnsi="仿宋_GB2312" w:eastAsia="仿宋_GB2312" w:cs="仿宋_GB2312"/>
          <w:w w:val="99"/>
          <w:sz w:val="32"/>
          <w:szCs w:val="32"/>
        </w:rPr>
        <w:t>（</w:t>
      </w:r>
      <w:r>
        <w:rPr>
          <w:rFonts w:hint="eastAsia" w:ascii="仿宋_GB2312" w:hAnsi="仿宋_GB2312" w:eastAsia="仿宋_GB2312" w:cs="仿宋_GB2312"/>
          <w:spacing w:val="2"/>
          <w:w w:val="99"/>
          <w:sz w:val="32"/>
          <w:szCs w:val="32"/>
        </w:rPr>
        <w:t>六</w:t>
      </w:r>
      <w:r>
        <w:rPr>
          <w:rFonts w:hint="eastAsia" w:ascii="仿宋_GB2312" w:hAnsi="仿宋_GB2312" w:eastAsia="仿宋_GB2312" w:cs="仿宋_GB2312"/>
          <w:spacing w:val="-27"/>
          <w:w w:val="99"/>
          <w:sz w:val="32"/>
          <w:szCs w:val="32"/>
        </w:rPr>
        <w:t>）</w:t>
      </w:r>
      <w:r>
        <w:rPr>
          <w:rFonts w:hint="eastAsia" w:ascii="仿宋_GB2312" w:hAnsi="仿宋_GB2312" w:eastAsia="仿宋_GB2312" w:cs="仿宋_GB2312"/>
          <w:spacing w:val="-4"/>
          <w:w w:val="99"/>
          <w:sz w:val="32"/>
          <w:szCs w:val="32"/>
        </w:rPr>
        <w:t>科学技术支出</w:t>
      </w:r>
      <w:r>
        <w:rPr>
          <w:rFonts w:hint="eastAsia" w:ascii="仿宋_GB2312" w:hAnsi="仿宋_GB2312" w:eastAsia="仿宋_GB2312" w:cs="仿宋_GB2312"/>
          <w:w w:val="99"/>
          <w:sz w:val="32"/>
          <w:szCs w:val="32"/>
        </w:rPr>
        <w:t>（</w:t>
      </w:r>
      <w:r>
        <w:rPr>
          <w:rFonts w:hint="eastAsia" w:ascii="仿宋_GB2312" w:hAnsi="仿宋_GB2312" w:eastAsia="仿宋_GB2312" w:cs="仿宋_GB2312"/>
          <w:spacing w:val="2"/>
          <w:w w:val="99"/>
          <w:sz w:val="32"/>
          <w:szCs w:val="32"/>
        </w:rPr>
        <w:t>类</w:t>
      </w:r>
      <w:r>
        <w:rPr>
          <w:rFonts w:hint="eastAsia" w:ascii="仿宋_GB2312" w:hAnsi="仿宋_GB2312" w:eastAsia="仿宋_GB2312" w:cs="仿宋_GB2312"/>
          <w:spacing w:val="-27"/>
          <w:w w:val="99"/>
          <w:sz w:val="32"/>
          <w:szCs w:val="32"/>
        </w:rPr>
        <w:t>）</w:t>
      </w:r>
      <w:r>
        <w:rPr>
          <w:rFonts w:hint="eastAsia" w:ascii="仿宋_GB2312" w:hAnsi="仿宋_GB2312" w:eastAsia="仿宋_GB2312" w:cs="仿宋_GB2312"/>
          <w:spacing w:val="-6"/>
          <w:w w:val="99"/>
          <w:sz w:val="32"/>
          <w:szCs w:val="32"/>
        </w:rPr>
        <w:t>应用研究</w:t>
      </w:r>
      <w:r>
        <w:rPr>
          <w:rFonts w:hint="eastAsia" w:ascii="仿宋_GB2312" w:hAnsi="仿宋_GB2312" w:eastAsia="仿宋_GB2312" w:cs="仿宋_GB2312"/>
          <w:w w:val="99"/>
          <w:sz w:val="32"/>
          <w:szCs w:val="32"/>
        </w:rPr>
        <w:t>（</w:t>
      </w:r>
      <w:r>
        <w:rPr>
          <w:rFonts w:hint="eastAsia" w:ascii="仿宋_GB2312" w:hAnsi="仿宋_GB2312" w:eastAsia="仿宋_GB2312" w:cs="仿宋_GB2312"/>
          <w:spacing w:val="2"/>
          <w:w w:val="99"/>
          <w:sz w:val="32"/>
          <w:szCs w:val="32"/>
        </w:rPr>
        <w:t>款</w:t>
      </w:r>
      <w:r>
        <w:rPr>
          <w:rFonts w:hint="eastAsia" w:ascii="仿宋_GB2312" w:hAnsi="仿宋_GB2312" w:eastAsia="仿宋_GB2312" w:cs="仿宋_GB2312"/>
          <w:spacing w:val="-27"/>
          <w:w w:val="99"/>
          <w:sz w:val="32"/>
          <w:szCs w:val="32"/>
        </w:rPr>
        <w:t>）</w:t>
      </w:r>
      <w:r>
        <w:rPr>
          <w:rFonts w:hint="eastAsia" w:ascii="仿宋_GB2312" w:hAnsi="仿宋_GB2312" w:eastAsia="仿宋_GB2312" w:cs="仿宋_GB2312"/>
          <w:spacing w:val="-6"/>
          <w:w w:val="99"/>
          <w:sz w:val="32"/>
          <w:szCs w:val="32"/>
        </w:rPr>
        <w:t>机构运行</w:t>
      </w:r>
      <w:r>
        <w:rPr>
          <w:rFonts w:hint="eastAsia" w:ascii="仿宋_GB2312" w:hAnsi="仿宋_GB2312" w:eastAsia="仿宋_GB2312" w:cs="仿宋_GB2312"/>
          <w:w w:val="99"/>
          <w:sz w:val="32"/>
          <w:szCs w:val="32"/>
        </w:rPr>
        <w:t>（</w:t>
      </w:r>
      <w:r>
        <w:rPr>
          <w:rFonts w:hint="eastAsia" w:ascii="仿宋_GB2312" w:hAnsi="仿宋_GB2312" w:eastAsia="仿宋_GB2312" w:cs="仿宋_GB2312"/>
          <w:spacing w:val="2"/>
          <w:w w:val="99"/>
          <w:sz w:val="32"/>
          <w:szCs w:val="32"/>
        </w:rPr>
        <w:t>项</w:t>
      </w:r>
      <w:r>
        <w:rPr>
          <w:rFonts w:hint="eastAsia" w:ascii="仿宋_GB2312" w:hAnsi="仿宋_GB2312" w:eastAsia="仿宋_GB2312" w:cs="仿宋_GB2312"/>
          <w:spacing w:val="-159"/>
          <w:w w:val="99"/>
          <w:sz w:val="32"/>
          <w:szCs w:val="32"/>
        </w:rPr>
        <w:t>）</w:t>
      </w:r>
      <w:r>
        <w:rPr>
          <w:rFonts w:hint="eastAsia" w:ascii="仿宋_GB2312" w:hAnsi="仿宋_GB2312" w:eastAsia="仿宋_GB2312" w:cs="仿宋_GB2312"/>
          <w:w w:val="99"/>
          <w:sz w:val="32"/>
          <w:szCs w:val="32"/>
        </w:rPr>
        <w:t>：</w:t>
      </w:r>
    </w:p>
    <w:p w14:paraId="08BA74AD">
      <w:pPr>
        <w:pStyle w:val="4"/>
        <w:spacing w:before="8" w:line="232" w:lineRule="auto"/>
        <w:ind w:left="1800" w:right="1284"/>
        <w:rPr>
          <w:rFonts w:hint="eastAsia" w:ascii="仿宋_GB2312" w:hAnsi="仿宋_GB2312" w:eastAsia="仿宋_GB2312" w:cs="仿宋_GB2312"/>
          <w:sz w:val="32"/>
          <w:szCs w:val="32"/>
        </w:rPr>
      </w:pPr>
      <w:r>
        <w:rPr>
          <w:rFonts w:hint="eastAsia" w:ascii="仿宋_GB2312" w:hAnsi="仿宋_GB2312" w:eastAsia="仿宋_GB2312" w:cs="仿宋_GB2312"/>
          <w:spacing w:val="6"/>
          <w:w w:val="95"/>
          <w:sz w:val="32"/>
          <w:szCs w:val="32"/>
        </w:rPr>
        <w:t xml:space="preserve">指唐山市消防救援支队本级所主管承担科研任务事业单位的基  </w:t>
      </w:r>
      <w:r>
        <w:rPr>
          <w:rFonts w:hint="eastAsia" w:ascii="仿宋_GB2312" w:hAnsi="仿宋_GB2312" w:eastAsia="仿宋_GB2312" w:cs="仿宋_GB2312"/>
          <w:spacing w:val="6"/>
          <w:sz w:val="32"/>
          <w:szCs w:val="32"/>
        </w:rPr>
        <w:t>本支出。</w:t>
      </w:r>
    </w:p>
    <w:p w14:paraId="1A2515E7">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（七）科学技术支出（类）应用研究（款）社会公益研究</w:t>
      </w:r>
    </w:p>
    <w:p w14:paraId="6F57D0BF">
      <w:pPr>
        <w:pStyle w:val="4"/>
        <w:spacing w:line="232" w:lineRule="auto"/>
        <w:ind w:left="1800" w:right="1284"/>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（项</w:t>
      </w:r>
      <w:r>
        <w:rPr>
          <w:rFonts w:hint="eastAsia" w:ascii="仿宋_GB2312" w:hAnsi="仿宋_GB2312" w:eastAsia="仿宋_GB2312" w:cs="仿宋_GB2312"/>
          <w:b/>
          <w:spacing w:val="-70"/>
          <w:sz w:val="32"/>
          <w:szCs w:val="32"/>
        </w:rPr>
        <w:t>）：</w:t>
      </w:r>
      <w:r>
        <w:rPr>
          <w:rFonts w:hint="eastAsia" w:ascii="仿宋_GB2312" w:hAnsi="仿宋_GB2312" w:eastAsia="仿宋_GB2312" w:cs="仿宋_GB2312"/>
          <w:sz w:val="32"/>
          <w:szCs w:val="32"/>
        </w:rPr>
        <w:t>指唐山市消防救援支队本级所主管承担科研任务事业单位开展消防技术等社会公益专项科研方面的支出。</w:t>
      </w:r>
    </w:p>
    <w:p w14:paraId="2DE16C2F">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（八）科学技术支出（类）科技条件与服务（款）科技条</w:t>
      </w:r>
    </w:p>
    <w:p w14:paraId="2E5A82D5">
      <w:pPr>
        <w:pStyle w:val="4"/>
        <w:spacing w:line="232" w:lineRule="auto"/>
        <w:ind w:left="1800" w:right="1284"/>
        <w:rPr>
          <w:rFonts w:hint="eastAsia" w:ascii="仿宋_GB2312" w:hAnsi="仿宋_GB2312" w:eastAsia="仿宋_GB2312" w:cs="仿宋_GB2312"/>
          <w:sz w:val="32"/>
          <w:szCs w:val="32"/>
        </w:rPr>
      </w:pPr>
      <w:r>
        <w:rPr>
          <w:rFonts w:hint="eastAsia" w:ascii="仿宋_GB2312" w:hAnsi="仿宋_GB2312" w:eastAsia="仿宋_GB2312" w:cs="仿宋_GB2312"/>
          <w:b/>
          <w:spacing w:val="-16"/>
          <w:sz w:val="32"/>
          <w:szCs w:val="32"/>
        </w:rPr>
        <w:t>件专项</w:t>
      </w:r>
      <w:r>
        <w:rPr>
          <w:rFonts w:hint="eastAsia" w:ascii="仿宋_GB2312" w:hAnsi="仿宋_GB2312" w:eastAsia="仿宋_GB2312" w:cs="仿宋_GB2312"/>
          <w:b/>
          <w:sz w:val="32"/>
          <w:szCs w:val="32"/>
        </w:rPr>
        <w:t>（项</w:t>
      </w:r>
      <w:r>
        <w:rPr>
          <w:rFonts w:hint="eastAsia" w:ascii="仿宋_GB2312" w:hAnsi="仿宋_GB2312" w:eastAsia="仿宋_GB2312" w:cs="仿宋_GB2312"/>
          <w:b/>
          <w:spacing w:val="-47"/>
          <w:sz w:val="32"/>
          <w:szCs w:val="32"/>
        </w:rPr>
        <w:t>）：</w:t>
      </w:r>
      <w:r>
        <w:rPr>
          <w:rFonts w:hint="eastAsia" w:ascii="仿宋_GB2312" w:hAnsi="仿宋_GB2312" w:eastAsia="仿宋_GB2312" w:cs="仿宋_GB2312"/>
          <w:sz w:val="32"/>
          <w:szCs w:val="32"/>
        </w:rPr>
        <w:t>指财政部核定唐山市消防救援支队本级的中央级科学事业单位修缮购置经费。</w:t>
      </w:r>
    </w:p>
    <w:p w14:paraId="15D46C99">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（九）科学技术支出（类）其他科学技术支出（款）其他</w:t>
      </w:r>
    </w:p>
    <w:p w14:paraId="043581E9">
      <w:pPr>
        <w:spacing w:line="232" w:lineRule="auto"/>
        <w:ind w:left="1800" w:right="1284"/>
        <w:rPr>
          <w:rFonts w:hint="eastAsia" w:ascii="仿宋_GB2312" w:hAnsi="仿宋_GB2312" w:eastAsia="仿宋_GB2312" w:cs="仿宋_GB2312"/>
          <w:sz w:val="32"/>
          <w:szCs w:val="32"/>
        </w:rPr>
      </w:pPr>
      <w:r>
        <w:rPr>
          <w:rFonts w:hint="eastAsia" w:ascii="仿宋_GB2312" w:hAnsi="仿宋_GB2312" w:eastAsia="仿宋_GB2312" w:cs="仿宋_GB2312"/>
          <w:b/>
          <w:spacing w:val="-8"/>
          <w:sz w:val="32"/>
          <w:szCs w:val="32"/>
        </w:rPr>
        <w:t>科学技术支出</w:t>
      </w:r>
      <w:r>
        <w:rPr>
          <w:rFonts w:hint="eastAsia" w:ascii="仿宋_GB2312" w:hAnsi="仿宋_GB2312" w:eastAsia="仿宋_GB2312" w:cs="仿宋_GB2312"/>
          <w:b/>
          <w:sz w:val="32"/>
          <w:szCs w:val="32"/>
        </w:rPr>
        <w:t>（</w:t>
      </w:r>
      <w:r>
        <w:rPr>
          <w:rFonts w:hint="eastAsia" w:ascii="仿宋_GB2312" w:hAnsi="仿宋_GB2312" w:eastAsia="仿宋_GB2312" w:cs="仿宋_GB2312"/>
          <w:b/>
          <w:spacing w:val="5"/>
          <w:sz w:val="32"/>
          <w:szCs w:val="32"/>
        </w:rPr>
        <w:t>项</w:t>
      </w:r>
      <w:r>
        <w:rPr>
          <w:rFonts w:hint="eastAsia" w:ascii="仿宋_GB2312" w:hAnsi="仿宋_GB2312" w:eastAsia="仿宋_GB2312" w:cs="仿宋_GB2312"/>
          <w:b/>
          <w:spacing w:val="-50"/>
          <w:sz w:val="32"/>
          <w:szCs w:val="32"/>
        </w:rPr>
        <w:t>）：</w:t>
      </w:r>
      <w:r>
        <w:rPr>
          <w:rFonts w:hint="eastAsia" w:ascii="仿宋_GB2312" w:hAnsi="仿宋_GB2312" w:eastAsia="仿宋_GB2312" w:cs="仿宋_GB2312"/>
          <w:sz w:val="32"/>
          <w:szCs w:val="32"/>
        </w:rPr>
        <w:t>指财政部核定唐山市消防救援支队本级的科技业务管理费支出。</w:t>
      </w:r>
    </w:p>
    <w:p w14:paraId="5F7648A3">
      <w:pPr>
        <w:pStyle w:val="3"/>
        <w:rPr>
          <w:rFonts w:hint="eastAsia" w:ascii="仿宋_GB2312" w:hAnsi="仿宋_GB2312" w:eastAsia="仿宋_GB2312" w:cs="仿宋_GB2312"/>
          <w:sz w:val="32"/>
          <w:szCs w:val="32"/>
        </w:rPr>
      </w:pPr>
      <w:r>
        <w:rPr>
          <w:rFonts w:hint="eastAsia" w:ascii="仿宋_GB2312" w:hAnsi="仿宋_GB2312" w:eastAsia="仿宋_GB2312" w:cs="仿宋_GB2312"/>
          <w:spacing w:val="7"/>
          <w:w w:val="95"/>
          <w:sz w:val="32"/>
          <w:szCs w:val="32"/>
        </w:rPr>
        <w:t>（</w:t>
      </w:r>
      <w:r>
        <w:rPr>
          <w:rFonts w:hint="eastAsia" w:ascii="仿宋_GB2312" w:hAnsi="仿宋_GB2312" w:eastAsia="仿宋_GB2312" w:cs="仿宋_GB2312"/>
          <w:spacing w:val="9"/>
          <w:w w:val="95"/>
          <w:sz w:val="32"/>
          <w:szCs w:val="32"/>
        </w:rPr>
        <w:t>十</w:t>
      </w:r>
      <w:r>
        <w:rPr>
          <w:rFonts w:hint="eastAsia" w:ascii="仿宋_GB2312" w:hAnsi="仿宋_GB2312" w:eastAsia="仿宋_GB2312" w:cs="仿宋_GB2312"/>
          <w:spacing w:val="7"/>
          <w:w w:val="95"/>
          <w:sz w:val="32"/>
          <w:szCs w:val="32"/>
        </w:rPr>
        <w:t>）住房保障支出（</w:t>
      </w:r>
      <w:r>
        <w:rPr>
          <w:rFonts w:hint="eastAsia" w:ascii="仿宋_GB2312" w:hAnsi="仿宋_GB2312" w:eastAsia="仿宋_GB2312" w:cs="仿宋_GB2312"/>
          <w:spacing w:val="9"/>
          <w:w w:val="95"/>
          <w:sz w:val="32"/>
          <w:szCs w:val="32"/>
        </w:rPr>
        <w:t>类</w:t>
      </w:r>
      <w:r>
        <w:rPr>
          <w:rFonts w:hint="eastAsia" w:ascii="仿宋_GB2312" w:hAnsi="仿宋_GB2312" w:eastAsia="仿宋_GB2312" w:cs="仿宋_GB2312"/>
          <w:spacing w:val="7"/>
          <w:w w:val="95"/>
          <w:sz w:val="32"/>
          <w:szCs w:val="32"/>
        </w:rPr>
        <w:t>）住房改革支出（</w:t>
      </w:r>
      <w:r>
        <w:rPr>
          <w:rFonts w:hint="eastAsia" w:ascii="仿宋_GB2312" w:hAnsi="仿宋_GB2312" w:eastAsia="仿宋_GB2312" w:cs="仿宋_GB2312"/>
          <w:spacing w:val="9"/>
          <w:w w:val="95"/>
          <w:sz w:val="32"/>
          <w:szCs w:val="32"/>
        </w:rPr>
        <w:t>款</w:t>
      </w:r>
      <w:r>
        <w:rPr>
          <w:rFonts w:hint="eastAsia" w:ascii="仿宋_GB2312" w:hAnsi="仿宋_GB2312" w:eastAsia="仿宋_GB2312" w:cs="仿宋_GB2312"/>
          <w:spacing w:val="7"/>
          <w:w w:val="95"/>
          <w:sz w:val="32"/>
          <w:szCs w:val="32"/>
        </w:rPr>
        <w:t>）</w:t>
      </w:r>
      <w:r>
        <w:rPr>
          <w:rFonts w:hint="eastAsia" w:ascii="仿宋_GB2312" w:hAnsi="仿宋_GB2312" w:eastAsia="仿宋_GB2312" w:cs="仿宋_GB2312"/>
          <w:spacing w:val="6"/>
          <w:w w:val="95"/>
          <w:sz w:val="32"/>
          <w:szCs w:val="32"/>
        </w:rPr>
        <w:t>住房公积</w:t>
      </w:r>
    </w:p>
    <w:p w14:paraId="7D652C7E">
      <w:pPr>
        <w:pStyle w:val="4"/>
        <w:spacing w:line="575"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b/>
          <w:spacing w:val="-34"/>
          <w:w w:val="95"/>
          <w:sz w:val="32"/>
          <w:szCs w:val="32"/>
        </w:rPr>
        <w:t>金</w:t>
      </w:r>
      <w:r>
        <w:rPr>
          <w:rFonts w:hint="eastAsia" w:ascii="仿宋_GB2312" w:hAnsi="仿宋_GB2312" w:eastAsia="仿宋_GB2312" w:cs="仿宋_GB2312"/>
          <w:b/>
          <w:w w:val="95"/>
          <w:sz w:val="32"/>
          <w:szCs w:val="32"/>
        </w:rPr>
        <w:t>（项</w:t>
      </w:r>
      <w:r>
        <w:rPr>
          <w:rFonts w:hint="eastAsia" w:ascii="仿宋_GB2312" w:hAnsi="仿宋_GB2312" w:eastAsia="仿宋_GB2312" w:cs="仿宋_GB2312"/>
          <w:b/>
          <w:spacing w:val="-35"/>
          <w:w w:val="95"/>
          <w:sz w:val="32"/>
          <w:szCs w:val="32"/>
        </w:rPr>
        <w:t>）</w:t>
      </w:r>
      <w:r>
        <w:rPr>
          <w:rFonts w:hint="eastAsia" w:ascii="仿宋_GB2312" w:hAnsi="仿宋_GB2312" w:eastAsia="仿宋_GB2312" w:cs="仿宋_GB2312"/>
          <w:spacing w:val="-8"/>
          <w:w w:val="95"/>
          <w:sz w:val="32"/>
          <w:szCs w:val="32"/>
        </w:rPr>
        <w:t>：反映行政事业单位按人力资源和社会保障部、财政部</w:t>
      </w:r>
    </w:p>
    <w:p w14:paraId="719FC4F2">
      <w:pPr>
        <w:spacing w:line="575" w:lineRule="exact"/>
        <w:rPr>
          <w:rFonts w:hint="eastAsia" w:ascii="仿宋_GB2312" w:hAnsi="仿宋_GB2312" w:eastAsia="仿宋_GB2312" w:cs="仿宋_GB2312"/>
          <w:sz w:val="32"/>
          <w:szCs w:val="32"/>
        </w:rPr>
        <w:sectPr>
          <w:pgSz w:w="11910" w:h="16840"/>
          <w:pgMar w:top="1500" w:right="0" w:bottom="1160" w:left="0" w:header="0" w:footer="895" w:gutter="0"/>
          <w:cols w:space="720" w:num="1"/>
        </w:sectPr>
      </w:pPr>
    </w:p>
    <w:p w14:paraId="799B5811">
      <w:pPr>
        <w:pStyle w:val="4"/>
        <w:spacing w:line="520"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规定的基本工资和津贴补贴以及规定比例为职工缴纳的住房公</w:t>
      </w:r>
    </w:p>
    <w:p w14:paraId="0657BDF1">
      <w:pPr>
        <w:pStyle w:val="4"/>
        <w:spacing w:line="519"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积金。</w:t>
      </w:r>
    </w:p>
    <w:p w14:paraId="54526358">
      <w:pPr>
        <w:spacing w:line="225" w:lineRule="auto"/>
        <w:ind w:left="1800" w:right="1284"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spacing w:val="7"/>
          <w:w w:val="95"/>
          <w:sz w:val="32"/>
          <w:szCs w:val="32"/>
        </w:rPr>
        <w:t>（</w:t>
      </w:r>
      <w:r>
        <w:rPr>
          <w:rFonts w:hint="eastAsia" w:ascii="仿宋_GB2312" w:hAnsi="仿宋_GB2312" w:eastAsia="仿宋_GB2312" w:cs="仿宋_GB2312"/>
          <w:b/>
          <w:spacing w:val="8"/>
          <w:w w:val="95"/>
          <w:sz w:val="32"/>
          <w:szCs w:val="32"/>
        </w:rPr>
        <w:t>十一</w:t>
      </w:r>
      <w:r>
        <w:rPr>
          <w:rFonts w:hint="eastAsia" w:ascii="仿宋_GB2312" w:hAnsi="仿宋_GB2312" w:eastAsia="仿宋_GB2312" w:cs="仿宋_GB2312"/>
          <w:b/>
          <w:spacing w:val="7"/>
          <w:w w:val="95"/>
          <w:sz w:val="32"/>
          <w:szCs w:val="32"/>
        </w:rPr>
        <w:t>）住房保障支出</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类）住房改革支出（</w:t>
      </w:r>
      <w:r>
        <w:rPr>
          <w:rFonts w:hint="eastAsia" w:ascii="仿宋_GB2312" w:hAnsi="仿宋_GB2312" w:eastAsia="仿宋_GB2312" w:cs="仿宋_GB2312"/>
          <w:b/>
          <w:spacing w:val="9"/>
          <w:w w:val="95"/>
          <w:sz w:val="32"/>
          <w:szCs w:val="32"/>
        </w:rPr>
        <w:t>款</w:t>
      </w:r>
      <w:r>
        <w:rPr>
          <w:rFonts w:hint="eastAsia" w:ascii="仿宋_GB2312" w:hAnsi="仿宋_GB2312" w:eastAsia="仿宋_GB2312" w:cs="仿宋_GB2312"/>
          <w:b/>
          <w:spacing w:val="7"/>
          <w:w w:val="95"/>
          <w:sz w:val="32"/>
          <w:szCs w:val="32"/>
        </w:rPr>
        <w:t>）</w:t>
      </w:r>
      <w:r>
        <w:rPr>
          <w:rFonts w:hint="eastAsia" w:ascii="仿宋_GB2312" w:hAnsi="仿宋_GB2312" w:eastAsia="仿宋_GB2312" w:cs="仿宋_GB2312"/>
          <w:b/>
          <w:spacing w:val="5"/>
          <w:w w:val="95"/>
          <w:sz w:val="32"/>
          <w:szCs w:val="32"/>
        </w:rPr>
        <w:t xml:space="preserve">提租补   </w:t>
      </w:r>
      <w:r>
        <w:rPr>
          <w:rFonts w:hint="eastAsia" w:ascii="仿宋_GB2312" w:hAnsi="仿宋_GB2312" w:eastAsia="仿宋_GB2312" w:cs="仿宋_GB2312"/>
          <w:b/>
          <w:spacing w:val="-94"/>
          <w:sz w:val="32"/>
          <w:szCs w:val="32"/>
        </w:rPr>
        <w:t>贴</w:t>
      </w:r>
      <w:r>
        <w:rPr>
          <w:rFonts w:hint="eastAsia" w:ascii="仿宋_GB2312" w:hAnsi="仿宋_GB2312" w:eastAsia="仿宋_GB2312" w:cs="仿宋_GB2312"/>
          <w:b/>
          <w:sz w:val="32"/>
          <w:szCs w:val="32"/>
        </w:rPr>
        <w:t>（项</w:t>
      </w:r>
      <w:r>
        <w:rPr>
          <w:rFonts w:hint="eastAsia" w:ascii="仿宋_GB2312" w:hAnsi="仿宋_GB2312" w:eastAsia="仿宋_GB2312" w:cs="仿宋_GB2312"/>
          <w:b/>
          <w:spacing w:val="-97"/>
          <w:sz w:val="32"/>
          <w:szCs w:val="32"/>
        </w:rPr>
        <w:t>）</w:t>
      </w:r>
      <w:r>
        <w:rPr>
          <w:rFonts w:hint="eastAsia" w:ascii="仿宋_GB2312" w:hAnsi="仿宋_GB2312" w:eastAsia="仿宋_GB2312" w:cs="仿宋_GB2312"/>
          <w:spacing w:val="-18"/>
          <w:sz w:val="32"/>
          <w:szCs w:val="32"/>
        </w:rPr>
        <w:t>：反映按房改政策规定的标准，行政事业单位向职工</w:t>
      </w:r>
      <w:r>
        <w:rPr>
          <w:rFonts w:hint="eastAsia" w:ascii="仿宋_GB2312" w:hAnsi="仿宋_GB2312" w:eastAsia="仿宋_GB2312" w:cs="仿宋_GB2312"/>
          <w:sz w:val="32"/>
          <w:szCs w:val="32"/>
        </w:rPr>
        <w:t>（含离退休人员）发放的租金补贴。</w:t>
      </w:r>
    </w:p>
    <w:p w14:paraId="756BC405">
      <w:pPr>
        <w:spacing w:line="220" w:lineRule="auto"/>
        <w:ind w:left="1800" w:right="1284" w:firstLine="640"/>
        <w:rPr>
          <w:rFonts w:hint="eastAsia" w:ascii="仿宋_GB2312" w:hAnsi="仿宋_GB2312" w:eastAsia="仿宋_GB2312" w:cs="仿宋_GB2312"/>
          <w:sz w:val="32"/>
          <w:szCs w:val="32"/>
        </w:rPr>
      </w:pPr>
      <w:r>
        <w:rPr>
          <w:rFonts w:hint="eastAsia" w:ascii="仿宋_GB2312" w:hAnsi="仿宋_GB2312" w:eastAsia="仿宋_GB2312" w:cs="仿宋_GB2312"/>
          <w:b/>
          <w:spacing w:val="7"/>
          <w:w w:val="95"/>
          <w:sz w:val="32"/>
          <w:szCs w:val="32"/>
        </w:rPr>
        <w:t>（</w:t>
      </w:r>
      <w:r>
        <w:rPr>
          <w:rFonts w:hint="eastAsia" w:ascii="仿宋_GB2312" w:hAnsi="仿宋_GB2312" w:eastAsia="仿宋_GB2312" w:cs="仿宋_GB2312"/>
          <w:b/>
          <w:spacing w:val="8"/>
          <w:w w:val="95"/>
          <w:sz w:val="32"/>
          <w:szCs w:val="32"/>
        </w:rPr>
        <w:t>十二</w:t>
      </w:r>
      <w:r>
        <w:rPr>
          <w:rFonts w:hint="eastAsia" w:ascii="仿宋_GB2312" w:hAnsi="仿宋_GB2312" w:eastAsia="仿宋_GB2312" w:cs="仿宋_GB2312"/>
          <w:b/>
          <w:spacing w:val="7"/>
          <w:w w:val="95"/>
          <w:sz w:val="32"/>
          <w:szCs w:val="32"/>
        </w:rPr>
        <w:t>）住房保障支出</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类）住房改革支出（</w:t>
      </w:r>
      <w:r>
        <w:rPr>
          <w:rFonts w:hint="eastAsia" w:ascii="仿宋_GB2312" w:hAnsi="仿宋_GB2312" w:eastAsia="仿宋_GB2312" w:cs="仿宋_GB2312"/>
          <w:b/>
          <w:spacing w:val="9"/>
          <w:w w:val="95"/>
          <w:sz w:val="32"/>
          <w:szCs w:val="32"/>
        </w:rPr>
        <w:t>款</w:t>
      </w:r>
      <w:r>
        <w:rPr>
          <w:rFonts w:hint="eastAsia" w:ascii="仿宋_GB2312" w:hAnsi="仿宋_GB2312" w:eastAsia="仿宋_GB2312" w:cs="仿宋_GB2312"/>
          <w:b/>
          <w:spacing w:val="7"/>
          <w:w w:val="95"/>
          <w:sz w:val="32"/>
          <w:szCs w:val="32"/>
        </w:rPr>
        <w:t>）</w:t>
      </w:r>
      <w:r>
        <w:rPr>
          <w:rFonts w:hint="eastAsia" w:ascii="仿宋_GB2312" w:hAnsi="仿宋_GB2312" w:eastAsia="仿宋_GB2312" w:cs="仿宋_GB2312"/>
          <w:b/>
          <w:spacing w:val="5"/>
          <w:w w:val="95"/>
          <w:sz w:val="32"/>
          <w:szCs w:val="32"/>
        </w:rPr>
        <w:t xml:space="preserve">购房补  </w:t>
      </w:r>
      <w:r>
        <w:rPr>
          <w:rFonts w:hint="eastAsia" w:ascii="仿宋_GB2312" w:hAnsi="仿宋_GB2312" w:eastAsia="仿宋_GB2312" w:cs="仿宋_GB2312"/>
          <w:b/>
          <w:spacing w:val="-34"/>
          <w:w w:val="95"/>
          <w:sz w:val="32"/>
          <w:szCs w:val="32"/>
        </w:rPr>
        <w:t>贴</w:t>
      </w:r>
      <w:r>
        <w:rPr>
          <w:rFonts w:hint="eastAsia" w:ascii="仿宋_GB2312" w:hAnsi="仿宋_GB2312" w:eastAsia="仿宋_GB2312" w:cs="仿宋_GB2312"/>
          <w:b/>
          <w:w w:val="95"/>
          <w:sz w:val="32"/>
          <w:szCs w:val="32"/>
        </w:rPr>
        <w:t>（项</w:t>
      </w:r>
      <w:r>
        <w:rPr>
          <w:rFonts w:hint="eastAsia" w:ascii="仿宋_GB2312" w:hAnsi="仿宋_GB2312" w:eastAsia="仿宋_GB2312" w:cs="仿宋_GB2312"/>
          <w:b/>
          <w:spacing w:val="-35"/>
          <w:w w:val="95"/>
          <w:sz w:val="32"/>
          <w:szCs w:val="32"/>
        </w:rPr>
        <w:t>）</w:t>
      </w:r>
      <w:r>
        <w:rPr>
          <w:rFonts w:hint="eastAsia" w:ascii="仿宋_GB2312" w:hAnsi="仿宋_GB2312" w:eastAsia="仿宋_GB2312" w:cs="仿宋_GB2312"/>
          <w:spacing w:val="-9"/>
          <w:w w:val="95"/>
          <w:sz w:val="32"/>
          <w:szCs w:val="32"/>
        </w:rPr>
        <w:t>：反映按房改政策规定，行政事业单位向符合条件职工</w:t>
      </w:r>
    </w:p>
    <w:p w14:paraId="7233E786">
      <w:pPr>
        <w:pStyle w:val="4"/>
        <w:spacing w:line="522"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（含离退休人员）发放的用于购买住房的补贴。</w:t>
      </w:r>
    </w:p>
    <w:p w14:paraId="760CCC22">
      <w:pPr>
        <w:spacing w:line="225" w:lineRule="auto"/>
        <w:ind w:left="1800" w:right="1286"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spacing w:val="7"/>
          <w:w w:val="95"/>
          <w:sz w:val="32"/>
          <w:szCs w:val="32"/>
        </w:rPr>
        <w:t>（</w:t>
      </w:r>
      <w:r>
        <w:rPr>
          <w:rFonts w:hint="eastAsia" w:ascii="仿宋_GB2312" w:hAnsi="仿宋_GB2312" w:eastAsia="仿宋_GB2312" w:cs="仿宋_GB2312"/>
          <w:b/>
          <w:spacing w:val="8"/>
          <w:w w:val="95"/>
          <w:sz w:val="32"/>
          <w:szCs w:val="32"/>
        </w:rPr>
        <w:t>十三</w:t>
      </w:r>
      <w:r>
        <w:rPr>
          <w:rFonts w:hint="eastAsia" w:ascii="仿宋_GB2312" w:hAnsi="仿宋_GB2312" w:eastAsia="仿宋_GB2312" w:cs="仿宋_GB2312"/>
          <w:b/>
          <w:spacing w:val="7"/>
          <w:w w:val="95"/>
          <w:sz w:val="32"/>
          <w:szCs w:val="32"/>
        </w:rPr>
        <w:t>）灾害防治及应急管理支出</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类</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消防事务</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款</w:t>
      </w:r>
      <w:r>
        <w:rPr>
          <w:rFonts w:hint="eastAsia" w:ascii="仿宋_GB2312" w:hAnsi="仿宋_GB2312" w:eastAsia="仿宋_GB2312" w:cs="仿宋_GB2312"/>
          <w:b/>
          <w:w w:val="95"/>
          <w:sz w:val="32"/>
          <w:szCs w:val="32"/>
        </w:rPr>
        <w:t xml:space="preserve">）  </w:t>
      </w:r>
      <w:r>
        <w:rPr>
          <w:rFonts w:hint="eastAsia" w:ascii="仿宋_GB2312" w:hAnsi="仿宋_GB2312" w:eastAsia="仿宋_GB2312" w:cs="仿宋_GB2312"/>
          <w:b/>
          <w:spacing w:val="-12"/>
          <w:sz w:val="32"/>
          <w:szCs w:val="32"/>
        </w:rPr>
        <w:t>行政运行</w:t>
      </w:r>
      <w:r>
        <w:rPr>
          <w:rFonts w:hint="eastAsia" w:ascii="仿宋_GB2312" w:hAnsi="仿宋_GB2312" w:eastAsia="仿宋_GB2312" w:cs="仿宋_GB2312"/>
          <w:b/>
          <w:sz w:val="32"/>
          <w:szCs w:val="32"/>
        </w:rPr>
        <w:t>（项</w:t>
      </w:r>
      <w:r>
        <w:rPr>
          <w:rFonts w:hint="eastAsia" w:ascii="仿宋_GB2312" w:hAnsi="仿宋_GB2312" w:eastAsia="仿宋_GB2312" w:cs="仿宋_GB2312"/>
          <w:b/>
          <w:spacing w:val="-48"/>
          <w:sz w:val="32"/>
          <w:szCs w:val="32"/>
        </w:rPr>
        <w:t>）</w:t>
      </w:r>
      <w:r>
        <w:rPr>
          <w:rFonts w:hint="eastAsia" w:ascii="仿宋_GB2312" w:hAnsi="仿宋_GB2312" w:eastAsia="仿宋_GB2312" w:cs="仿宋_GB2312"/>
          <w:spacing w:val="-7"/>
          <w:sz w:val="32"/>
          <w:szCs w:val="32"/>
        </w:rPr>
        <w:t>：指唐山市消防救援支队本级用于保障机构正常运行、开展日常工作的基本支出。</w:t>
      </w:r>
    </w:p>
    <w:p w14:paraId="7B46E87D">
      <w:pPr>
        <w:spacing w:line="220" w:lineRule="auto"/>
        <w:ind w:left="1800" w:right="1284" w:firstLine="640"/>
        <w:rPr>
          <w:rFonts w:hint="eastAsia" w:ascii="仿宋_GB2312" w:hAnsi="仿宋_GB2312" w:eastAsia="仿宋_GB2312" w:cs="仿宋_GB2312"/>
          <w:sz w:val="32"/>
          <w:szCs w:val="32"/>
        </w:rPr>
      </w:pPr>
      <w:r>
        <w:rPr>
          <w:rFonts w:hint="eastAsia" w:ascii="仿宋_GB2312" w:hAnsi="仿宋_GB2312" w:eastAsia="仿宋_GB2312" w:cs="仿宋_GB2312"/>
          <w:b/>
          <w:spacing w:val="7"/>
          <w:w w:val="95"/>
          <w:sz w:val="32"/>
          <w:szCs w:val="32"/>
        </w:rPr>
        <w:t>（</w:t>
      </w:r>
      <w:r>
        <w:rPr>
          <w:rFonts w:hint="eastAsia" w:ascii="仿宋_GB2312" w:hAnsi="仿宋_GB2312" w:eastAsia="仿宋_GB2312" w:cs="仿宋_GB2312"/>
          <w:b/>
          <w:spacing w:val="8"/>
          <w:w w:val="95"/>
          <w:sz w:val="32"/>
          <w:szCs w:val="32"/>
        </w:rPr>
        <w:t>十四</w:t>
      </w:r>
      <w:r>
        <w:rPr>
          <w:rFonts w:hint="eastAsia" w:ascii="仿宋_GB2312" w:hAnsi="仿宋_GB2312" w:eastAsia="仿宋_GB2312" w:cs="仿宋_GB2312"/>
          <w:b/>
          <w:spacing w:val="7"/>
          <w:w w:val="95"/>
          <w:sz w:val="32"/>
          <w:szCs w:val="32"/>
        </w:rPr>
        <w:t>）灾害防治及应急管理支出</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类</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消防事务</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款</w:t>
      </w:r>
      <w:r>
        <w:rPr>
          <w:rFonts w:hint="eastAsia" w:ascii="仿宋_GB2312" w:hAnsi="仿宋_GB2312" w:eastAsia="仿宋_GB2312" w:cs="仿宋_GB2312"/>
          <w:b/>
          <w:w w:val="95"/>
          <w:sz w:val="32"/>
          <w:szCs w:val="32"/>
        </w:rPr>
        <w:t xml:space="preserve">）  </w:t>
      </w:r>
      <w:r>
        <w:rPr>
          <w:rFonts w:hint="eastAsia" w:ascii="仿宋_GB2312" w:hAnsi="仿宋_GB2312" w:eastAsia="仿宋_GB2312" w:cs="仿宋_GB2312"/>
          <w:b/>
          <w:spacing w:val="-8"/>
          <w:sz w:val="32"/>
          <w:szCs w:val="32"/>
        </w:rPr>
        <w:t>消防应急救援</w:t>
      </w:r>
      <w:r>
        <w:rPr>
          <w:rFonts w:hint="eastAsia" w:ascii="仿宋_GB2312" w:hAnsi="仿宋_GB2312" w:eastAsia="仿宋_GB2312" w:cs="仿宋_GB2312"/>
          <w:b/>
          <w:sz w:val="32"/>
          <w:szCs w:val="32"/>
        </w:rPr>
        <w:t>（项</w:t>
      </w:r>
      <w:r>
        <w:rPr>
          <w:rFonts w:hint="eastAsia" w:ascii="仿宋_GB2312" w:hAnsi="仿宋_GB2312" w:eastAsia="仿宋_GB2312" w:cs="仿宋_GB2312"/>
          <w:b/>
          <w:spacing w:val="-50"/>
          <w:sz w:val="32"/>
          <w:szCs w:val="32"/>
        </w:rPr>
        <w:t>）</w:t>
      </w:r>
      <w:r>
        <w:rPr>
          <w:rFonts w:hint="eastAsia" w:ascii="仿宋_GB2312" w:hAnsi="仿宋_GB2312" w:eastAsia="仿宋_GB2312" w:cs="仿宋_GB2312"/>
          <w:spacing w:val="-8"/>
          <w:sz w:val="32"/>
          <w:szCs w:val="32"/>
        </w:rPr>
        <w:t>：指唐山市消防救援支队本级开展消防应急</w:t>
      </w:r>
    </w:p>
    <w:p w14:paraId="7F2B993B">
      <w:pPr>
        <w:pStyle w:val="4"/>
        <w:spacing w:line="522"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救援方面的支出。</w:t>
      </w:r>
    </w:p>
    <w:p w14:paraId="0749E419">
      <w:pPr>
        <w:spacing w:line="225" w:lineRule="auto"/>
        <w:ind w:left="1800" w:right="1284"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spacing w:val="7"/>
          <w:w w:val="95"/>
          <w:sz w:val="32"/>
          <w:szCs w:val="32"/>
        </w:rPr>
        <w:t>（</w:t>
      </w:r>
      <w:r>
        <w:rPr>
          <w:rFonts w:hint="eastAsia" w:ascii="仿宋_GB2312" w:hAnsi="仿宋_GB2312" w:eastAsia="仿宋_GB2312" w:cs="仿宋_GB2312"/>
          <w:b/>
          <w:spacing w:val="8"/>
          <w:w w:val="95"/>
          <w:sz w:val="32"/>
          <w:szCs w:val="32"/>
        </w:rPr>
        <w:t>十五</w:t>
      </w:r>
      <w:r>
        <w:rPr>
          <w:rFonts w:hint="eastAsia" w:ascii="仿宋_GB2312" w:hAnsi="仿宋_GB2312" w:eastAsia="仿宋_GB2312" w:cs="仿宋_GB2312"/>
          <w:b/>
          <w:spacing w:val="7"/>
          <w:w w:val="95"/>
          <w:sz w:val="32"/>
          <w:szCs w:val="32"/>
        </w:rPr>
        <w:t>）灾害防治及应急管理支出</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类</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消防事务</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款</w:t>
      </w:r>
      <w:r>
        <w:rPr>
          <w:rFonts w:hint="eastAsia" w:ascii="仿宋_GB2312" w:hAnsi="仿宋_GB2312" w:eastAsia="仿宋_GB2312" w:cs="仿宋_GB2312"/>
          <w:b/>
          <w:w w:val="95"/>
          <w:sz w:val="32"/>
          <w:szCs w:val="32"/>
        </w:rPr>
        <w:t xml:space="preserve">）  </w:t>
      </w:r>
      <w:r>
        <w:rPr>
          <w:rFonts w:hint="eastAsia" w:ascii="仿宋_GB2312" w:hAnsi="仿宋_GB2312" w:eastAsia="仿宋_GB2312" w:cs="仿宋_GB2312"/>
          <w:b/>
          <w:spacing w:val="-6"/>
          <w:sz w:val="32"/>
          <w:szCs w:val="32"/>
        </w:rPr>
        <w:t>其他消防事务支出</w:t>
      </w:r>
      <w:r>
        <w:rPr>
          <w:rFonts w:hint="eastAsia" w:ascii="仿宋_GB2312" w:hAnsi="仿宋_GB2312" w:eastAsia="仿宋_GB2312" w:cs="仿宋_GB2312"/>
          <w:b/>
          <w:sz w:val="32"/>
          <w:szCs w:val="32"/>
        </w:rPr>
        <w:t>（项</w:t>
      </w:r>
      <w:r>
        <w:rPr>
          <w:rFonts w:hint="eastAsia" w:ascii="仿宋_GB2312" w:hAnsi="仿宋_GB2312" w:eastAsia="仿宋_GB2312" w:cs="仿宋_GB2312"/>
          <w:b/>
          <w:spacing w:val="-50"/>
          <w:sz w:val="32"/>
          <w:szCs w:val="32"/>
        </w:rPr>
        <w:t>）</w:t>
      </w:r>
      <w:r>
        <w:rPr>
          <w:rFonts w:hint="eastAsia" w:ascii="仿宋_GB2312" w:hAnsi="仿宋_GB2312" w:eastAsia="仿宋_GB2312" w:cs="仿宋_GB2312"/>
          <w:spacing w:val="-8"/>
          <w:sz w:val="32"/>
          <w:szCs w:val="32"/>
        </w:rPr>
        <w:t>：指唐山市消防救援支队本级部门机动费项目支出及消防产品合格评定中心的各项支出。</w:t>
      </w:r>
    </w:p>
    <w:p w14:paraId="671FF4EF">
      <w:pPr>
        <w:spacing w:line="545"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（十六</w:t>
      </w:r>
      <w:r>
        <w:rPr>
          <w:rFonts w:hint="eastAsia" w:ascii="仿宋_GB2312" w:hAnsi="仿宋_GB2312" w:eastAsia="仿宋_GB2312" w:cs="仿宋_GB2312"/>
          <w:b/>
          <w:spacing w:val="-75"/>
          <w:sz w:val="32"/>
          <w:szCs w:val="32"/>
        </w:rPr>
        <w:t>）</w:t>
      </w:r>
      <w:r>
        <w:rPr>
          <w:rFonts w:hint="eastAsia" w:ascii="仿宋_GB2312" w:hAnsi="仿宋_GB2312" w:eastAsia="仿宋_GB2312" w:cs="仿宋_GB2312"/>
          <w:b/>
          <w:spacing w:val="-15"/>
          <w:sz w:val="32"/>
          <w:szCs w:val="32"/>
        </w:rPr>
        <w:t>结余分配：</w:t>
      </w:r>
      <w:r>
        <w:rPr>
          <w:rFonts w:hint="eastAsia" w:ascii="仿宋_GB2312" w:hAnsi="仿宋_GB2312" w:eastAsia="仿宋_GB2312" w:cs="仿宋_GB2312"/>
          <w:sz w:val="32"/>
          <w:szCs w:val="32"/>
        </w:rPr>
        <w:t>指事业单位按照会计制度规定缴纳的所</w:t>
      </w:r>
    </w:p>
    <w:p w14:paraId="37560B24">
      <w:pPr>
        <w:pStyle w:val="4"/>
        <w:spacing w:line="232" w:lineRule="auto"/>
        <w:ind w:left="1800" w:right="1284"/>
        <w:rPr>
          <w:rFonts w:hint="eastAsia" w:ascii="仿宋_GB2312" w:hAnsi="仿宋_GB2312" w:eastAsia="仿宋_GB2312" w:cs="仿宋_GB2312"/>
          <w:sz w:val="32"/>
          <w:szCs w:val="32"/>
        </w:rPr>
      </w:pPr>
      <w:r>
        <w:rPr>
          <w:rFonts w:hint="eastAsia" w:ascii="仿宋_GB2312" w:hAnsi="仿宋_GB2312" w:eastAsia="仿宋_GB2312" w:cs="仿宋_GB2312"/>
          <w:spacing w:val="6"/>
          <w:w w:val="95"/>
          <w:sz w:val="32"/>
          <w:szCs w:val="32"/>
        </w:rPr>
        <w:t xml:space="preserve">得税以及从非财政补助结余中提取的职工福利基金、事业基金  </w:t>
      </w:r>
      <w:r>
        <w:rPr>
          <w:rFonts w:hint="eastAsia" w:ascii="仿宋_GB2312" w:hAnsi="仿宋_GB2312" w:eastAsia="仿宋_GB2312" w:cs="仿宋_GB2312"/>
          <w:spacing w:val="6"/>
          <w:sz w:val="32"/>
          <w:szCs w:val="32"/>
        </w:rPr>
        <w:t>等。</w:t>
      </w:r>
    </w:p>
    <w:p w14:paraId="0C877383">
      <w:pPr>
        <w:spacing w:line="503"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（十七</w:t>
      </w:r>
      <w:r>
        <w:rPr>
          <w:rFonts w:hint="eastAsia" w:ascii="仿宋_GB2312" w:hAnsi="仿宋_GB2312" w:eastAsia="仿宋_GB2312" w:cs="仿宋_GB2312"/>
          <w:b/>
          <w:spacing w:val="-75"/>
          <w:sz w:val="32"/>
          <w:szCs w:val="32"/>
        </w:rPr>
        <w:t>）</w:t>
      </w:r>
      <w:r>
        <w:rPr>
          <w:rFonts w:hint="eastAsia" w:ascii="仿宋_GB2312" w:hAnsi="仿宋_GB2312" w:eastAsia="仿宋_GB2312" w:cs="仿宋_GB2312"/>
          <w:b/>
          <w:spacing w:val="-10"/>
          <w:sz w:val="32"/>
          <w:szCs w:val="32"/>
        </w:rPr>
        <w:t>年末结转和结余：</w:t>
      </w:r>
      <w:r>
        <w:rPr>
          <w:rFonts w:hint="eastAsia" w:ascii="仿宋_GB2312" w:hAnsi="仿宋_GB2312" w:eastAsia="仿宋_GB2312" w:cs="仿宋_GB2312"/>
          <w:sz w:val="32"/>
          <w:szCs w:val="32"/>
        </w:rPr>
        <w:t>指单位本年度或以前年度预算安</w:t>
      </w:r>
    </w:p>
    <w:p w14:paraId="59DF5186">
      <w:pPr>
        <w:pStyle w:val="4"/>
        <w:spacing w:before="3" w:line="232" w:lineRule="auto"/>
        <w:ind w:left="1800" w:right="1284"/>
        <w:rPr>
          <w:rFonts w:hint="eastAsia" w:ascii="仿宋_GB2312" w:hAnsi="仿宋_GB2312" w:eastAsia="仿宋_GB2312" w:cs="仿宋_GB2312"/>
          <w:sz w:val="32"/>
          <w:szCs w:val="32"/>
        </w:rPr>
      </w:pPr>
      <w:r>
        <w:rPr>
          <w:rFonts w:hint="eastAsia" w:ascii="仿宋_GB2312" w:hAnsi="仿宋_GB2312" w:eastAsia="仿宋_GB2312" w:cs="仿宋_GB2312"/>
          <w:spacing w:val="-12"/>
          <w:w w:val="95"/>
          <w:sz w:val="32"/>
          <w:szCs w:val="32"/>
        </w:rPr>
        <w:t xml:space="preserve">排、因客观条件发生变化未全部执行或未执行，结转到以后年度  </w:t>
      </w:r>
      <w:r>
        <w:rPr>
          <w:rFonts w:hint="eastAsia" w:ascii="仿宋_GB2312" w:hAnsi="仿宋_GB2312" w:eastAsia="仿宋_GB2312" w:cs="仿宋_GB2312"/>
          <w:spacing w:val="-12"/>
          <w:sz w:val="32"/>
          <w:szCs w:val="32"/>
        </w:rPr>
        <w:t>继续使用的资金，或项目已完成等产生的结余资金。</w:t>
      </w:r>
    </w:p>
    <w:p w14:paraId="48B300B7">
      <w:pPr>
        <w:spacing w:line="536"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（十八）基本支出：</w:t>
      </w:r>
      <w:r>
        <w:rPr>
          <w:rFonts w:hint="eastAsia" w:ascii="仿宋_GB2312" w:hAnsi="仿宋_GB2312" w:eastAsia="仿宋_GB2312" w:cs="仿宋_GB2312"/>
          <w:sz w:val="32"/>
          <w:szCs w:val="32"/>
        </w:rPr>
        <w:t>指为保障机构正常运转、完成日常工作</w:t>
      </w:r>
    </w:p>
    <w:p w14:paraId="11B23CEA">
      <w:pPr>
        <w:pStyle w:val="4"/>
        <w:spacing w:line="549"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任务而发生的人员支出和公用支出。</w:t>
      </w:r>
    </w:p>
    <w:p w14:paraId="64233C72">
      <w:pPr>
        <w:spacing w:line="549" w:lineRule="exact"/>
        <w:rPr>
          <w:rFonts w:hint="eastAsia" w:ascii="仿宋_GB2312" w:hAnsi="仿宋_GB2312" w:eastAsia="仿宋_GB2312" w:cs="仿宋_GB2312"/>
          <w:sz w:val="32"/>
          <w:szCs w:val="32"/>
        </w:rPr>
        <w:sectPr>
          <w:pgSz w:w="11910" w:h="16840"/>
          <w:pgMar w:top="1500" w:right="0" w:bottom="1160" w:left="0" w:header="0" w:footer="895" w:gutter="0"/>
          <w:cols w:space="720" w:num="1"/>
        </w:sectPr>
      </w:pPr>
    </w:p>
    <w:p w14:paraId="414D53E8">
      <w:pPr>
        <w:spacing w:line="520"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（十九</w:t>
      </w:r>
      <w:r>
        <w:rPr>
          <w:rFonts w:hint="eastAsia" w:ascii="仿宋_GB2312" w:hAnsi="仿宋_GB2312" w:eastAsia="仿宋_GB2312" w:cs="仿宋_GB2312"/>
          <w:b/>
          <w:spacing w:val="-75"/>
          <w:sz w:val="32"/>
          <w:szCs w:val="32"/>
        </w:rPr>
        <w:t>）</w:t>
      </w:r>
      <w:r>
        <w:rPr>
          <w:rFonts w:hint="eastAsia" w:ascii="仿宋_GB2312" w:hAnsi="仿宋_GB2312" w:eastAsia="仿宋_GB2312" w:cs="仿宋_GB2312"/>
          <w:b/>
          <w:spacing w:val="-15"/>
          <w:sz w:val="32"/>
          <w:szCs w:val="32"/>
        </w:rPr>
        <w:t>项目支出：</w:t>
      </w:r>
      <w:r>
        <w:rPr>
          <w:rFonts w:hint="eastAsia" w:ascii="仿宋_GB2312" w:hAnsi="仿宋_GB2312" w:eastAsia="仿宋_GB2312" w:cs="仿宋_GB2312"/>
          <w:sz w:val="32"/>
          <w:szCs w:val="32"/>
        </w:rPr>
        <w:t>指在基本支出之外为完成特定行政任务</w:t>
      </w:r>
    </w:p>
    <w:p w14:paraId="0D866620">
      <w:pPr>
        <w:pStyle w:val="4"/>
        <w:spacing w:line="519"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和事业发展目标所发生的支出。</w:t>
      </w:r>
    </w:p>
    <w:p w14:paraId="2C05E30D">
      <w:pPr>
        <w:spacing w:line="561"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（二十）“三公”经费：</w:t>
      </w:r>
      <w:r>
        <w:rPr>
          <w:rFonts w:hint="eastAsia" w:ascii="仿宋_GB2312" w:hAnsi="仿宋_GB2312" w:eastAsia="仿宋_GB2312" w:cs="仿宋_GB2312"/>
          <w:sz w:val="32"/>
          <w:szCs w:val="32"/>
        </w:rPr>
        <w:t>纳入中央财政预决算管理的“三公”</w:t>
      </w:r>
    </w:p>
    <w:p w14:paraId="6DEFA00A">
      <w:pPr>
        <w:pStyle w:val="4"/>
        <w:spacing w:before="3" w:line="232" w:lineRule="auto"/>
        <w:ind w:left="1800" w:right="1146"/>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经费，是指中央部门用财政拨款安排的因公出国</w:t>
      </w:r>
      <w:r>
        <w:rPr>
          <w:rFonts w:hint="eastAsia" w:ascii="仿宋_GB2312" w:hAnsi="仿宋_GB2312" w:eastAsia="仿宋_GB2312" w:cs="仿宋_GB2312"/>
          <w:sz w:val="32"/>
          <w:szCs w:val="32"/>
        </w:rPr>
        <w:t>（境</w:t>
      </w:r>
      <w:r>
        <w:rPr>
          <w:rFonts w:hint="eastAsia" w:ascii="仿宋_GB2312" w:hAnsi="仿宋_GB2312" w:eastAsia="仿宋_GB2312" w:cs="仿宋_GB2312"/>
          <w:spacing w:val="-34"/>
          <w:sz w:val="32"/>
          <w:szCs w:val="32"/>
        </w:rPr>
        <w:t>）</w:t>
      </w:r>
      <w:r>
        <w:rPr>
          <w:rFonts w:hint="eastAsia" w:ascii="仿宋_GB2312" w:hAnsi="仿宋_GB2312" w:eastAsia="仿宋_GB2312" w:cs="仿宋_GB2312"/>
          <w:spacing w:val="-9"/>
          <w:sz w:val="32"/>
          <w:szCs w:val="32"/>
        </w:rPr>
        <w:t>费、公务</w:t>
      </w:r>
      <w:r>
        <w:rPr>
          <w:rFonts w:hint="eastAsia" w:ascii="仿宋_GB2312" w:hAnsi="仿宋_GB2312" w:eastAsia="仿宋_GB2312" w:cs="仿宋_GB2312"/>
          <w:spacing w:val="-14"/>
          <w:sz w:val="32"/>
          <w:szCs w:val="32"/>
        </w:rPr>
        <w:t>用车购置及运行费和公务接待费。其中，因公出国</w:t>
      </w:r>
      <w:r>
        <w:rPr>
          <w:rFonts w:hint="eastAsia" w:ascii="仿宋_GB2312" w:hAnsi="仿宋_GB2312" w:eastAsia="仿宋_GB2312" w:cs="仿宋_GB2312"/>
          <w:sz w:val="32"/>
          <w:szCs w:val="32"/>
        </w:rPr>
        <w:t>（境</w:t>
      </w:r>
      <w:r>
        <w:rPr>
          <w:rFonts w:hint="eastAsia" w:ascii="仿宋_GB2312" w:hAnsi="仿宋_GB2312" w:eastAsia="仿宋_GB2312" w:cs="仿宋_GB2312"/>
          <w:spacing w:val="-34"/>
          <w:sz w:val="32"/>
          <w:szCs w:val="32"/>
        </w:rPr>
        <w:t>）</w:t>
      </w:r>
      <w:r>
        <w:rPr>
          <w:rFonts w:hint="eastAsia" w:ascii="仿宋_GB2312" w:hAnsi="仿宋_GB2312" w:eastAsia="仿宋_GB2312" w:cs="仿宋_GB2312"/>
          <w:sz w:val="32"/>
          <w:szCs w:val="32"/>
        </w:rPr>
        <w:t>费反映单位公务出国（境）</w:t>
      </w:r>
      <w:r>
        <w:rPr>
          <w:rFonts w:hint="eastAsia" w:ascii="仿宋_GB2312" w:hAnsi="仿宋_GB2312" w:eastAsia="仿宋_GB2312" w:cs="仿宋_GB2312"/>
          <w:spacing w:val="-1"/>
          <w:sz w:val="32"/>
          <w:szCs w:val="32"/>
        </w:rPr>
        <w:t>的国际旅费、国外城市间交通费、住宿费、</w:t>
      </w:r>
      <w:r>
        <w:rPr>
          <w:rFonts w:hint="eastAsia" w:ascii="仿宋_GB2312" w:hAnsi="仿宋_GB2312" w:eastAsia="仿宋_GB2312" w:cs="仿宋_GB2312"/>
          <w:spacing w:val="-13"/>
          <w:sz w:val="32"/>
          <w:szCs w:val="32"/>
        </w:rPr>
        <w:t>伙食费、培训费、公杂费等支出；公务用车购置及运行费反映单位公务用车车辆购置支出（含车辆购置税）及租用费、燃料费、</w:t>
      </w:r>
      <w:r>
        <w:rPr>
          <w:rFonts w:hint="eastAsia" w:ascii="仿宋_GB2312" w:hAnsi="仿宋_GB2312" w:eastAsia="仿宋_GB2312" w:cs="仿宋_GB2312"/>
          <w:spacing w:val="-12"/>
          <w:sz w:val="32"/>
          <w:szCs w:val="32"/>
        </w:rPr>
        <w:t>维修费、过路过桥费、保险费、安全奖励费用等支出；公务接待费反映单位按规定开支的各类公务接待（含外宾接待）支出。</w:t>
      </w:r>
    </w:p>
    <w:p w14:paraId="0DE4D35E">
      <w:pPr>
        <w:spacing w:line="535"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（二十一</w:t>
      </w:r>
      <w:r>
        <w:rPr>
          <w:rFonts w:hint="eastAsia" w:ascii="仿宋_GB2312" w:hAnsi="仿宋_GB2312" w:eastAsia="仿宋_GB2312" w:cs="仿宋_GB2312"/>
          <w:b/>
          <w:spacing w:val="-51"/>
          <w:sz w:val="32"/>
          <w:szCs w:val="32"/>
        </w:rPr>
        <w:t>）</w:t>
      </w:r>
      <w:r>
        <w:rPr>
          <w:rFonts w:hint="eastAsia" w:ascii="仿宋_GB2312" w:hAnsi="仿宋_GB2312" w:eastAsia="仿宋_GB2312" w:cs="仿宋_GB2312"/>
          <w:b/>
          <w:spacing w:val="-7"/>
          <w:sz w:val="32"/>
          <w:szCs w:val="32"/>
        </w:rPr>
        <w:t>机关运行经费：</w:t>
      </w:r>
      <w:r>
        <w:rPr>
          <w:rFonts w:hint="eastAsia" w:ascii="仿宋_GB2312" w:hAnsi="仿宋_GB2312" w:eastAsia="仿宋_GB2312" w:cs="仿宋_GB2312"/>
          <w:spacing w:val="-8"/>
          <w:sz w:val="32"/>
          <w:szCs w:val="32"/>
        </w:rPr>
        <w:t>为保障行政单位</w:t>
      </w:r>
      <w:r>
        <w:rPr>
          <w:rFonts w:hint="eastAsia" w:ascii="仿宋_GB2312" w:hAnsi="仿宋_GB2312" w:eastAsia="仿宋_GB2312" w:cs="仿宋_GB2312"/>
          <w:sz w:val="32"/>
          <w:szCs w:val="32"/>
        </w:rPr>
        <w:t>（包括参照公务</w:t>
      </w:r>
    </w:p>
    <w:p w14:paraId="44C950D3">
      <w:pPr>
        <w:pStyle w:val="4"/>
        <w:spacing w:before="3" w:line="232" w:lineRule="auto"/>
        <w:ind w:left="1800" w:right="11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员法管理事业单位</w:t>
      </w:r>
      <w:r>
        <w:rPr>
          <w:rFonts w:hint="eastAsia" w:ascii="仿宋_GB2312" w:hAnsi="仿宋_GB2312" w:eastAsia="仿宋_GB2312" w:cs="仿宋_GB2312"/>
          <w:spacing w:val="-70"/>
          <w:sz w:val="32"/>
          <w:szCs w:val="32"/>
        </w:rPr>
        <w:t>）</w:t>
      </w:r>
      <w:r>
        <w:rPr>
          <w:rFonts w:hint="eastAsia" w:ascii="仿宋_GB2312" w:hAnsi="仿宋_GB2312" w:eastAsia="仿宋_GB2312" w:cs="仿宋_GB2312"/>
          <w:spacing w:val="-5"/>
          <w:sz w:val="32"/>
          <w:szCs w:val="32"/>
        </w:rPr>
        <w:t>运行用于购买货物和服务的各项资金，包括</w:t>
      </w:r>
      <w:r>
        <w:rPr>
          <w:rFonts w:hint="eastAsia" w:ascii="仿宋_GB2312" w:hAnsi="仿宋_GB2312" w:eastAsia="仿宋_GB2312" w:cs="仿宋_GB2312"/>
          <w:spacing w:val="-21"/>
          <w:w w:val="95"/>
          <w:sz w:val="32"/>
          <w:szCs w:val="32"/>
        </w:rPr>
        <w:t xml:space="preserve">办公及印刷费、邮电费、差旅费、会议费、福利费、日常维修费、  </w:t>
      </w:r>
      <w:r>
        <w:rPr>
          <w:rFonts w:hint="eastAsia" w:ascii="仿宋_GB2312" w:hAnsi="仿宋_GB2312" w:eastAsia="仿宋_GB2312" w:cs="仿宋_GB2312"/>
          <w:spacing w:val="-25"/>
          <w:w w:val="95"/>
          <w:sz w:val="32"/>
          <w:szCs w:val="32"/>
        </w:rPr>
        <w:t xml:space="preserve">专用材料及一般设备购置费、办公用房水电费、办公用房取暖费、  </w:t>
      </w:r>
      <w:r>
        <w:rPr>
          <w:rFonts w:hint="eastAsia" w:ascii="仿宋_GB2312" w:hAnsi="仿宋_GB2312" w:eastAsia="仿宋_GB2312" w:cs="仿宋_GB2312"/>
          <w:spacing w:val="-25"/>
          <w:sz w:val="32"/>
          <w:szCs w:val="32"/>
        </w:rPr>
        <w:t>办公用房物业管理费、公务用车运行维护费以及其他费用。</w:t>
      </w:r>
    </w:p>
    <w:p w14:paraId="06014C37"/>
    <w:sectPr>
      <w:pgSz w:w="11910" w:h="16840"/>
      <w:pgMar w:top="1500" w:right="0" w:bottom="1160" w:left="0" w:header="0" w:footer="89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swiss"/>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5656A">
    <w:pPr>
      <w:pStyle w:val="4"/>
      <w:spacing w:line="14" w:lineRule="auto"/>
      <w:rPr>
        <w:sz w:val="12"/>
      </w:rPr>
    </w:pPr>
    <w:r>
      <mc:AlternateContent>
        <mc:Choice Requires="wps">
          <w:drawing>
            <wp:anchor distT="0" distB="0" distL="114300" distR="114300" simplePos="0" relativeHeight="251660288" behindDoc="1" locked="0" layoutInCell="1" allowOverlap="1">
              <wp:simplePos x="0" y="0"/>
              <wp:positionH relativeFrom="page">
                <wp:posOffset>3888105</wp:posOffset>
              </wp:positionH>
              <wp:positionV relativeFrom="page">
                <wp:posOffset>9932670</wp:posOffset>
              </wp:positionV>
              <wp:extent cx="109220" cy="1397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679F99E2">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306.15pt;margin-top:782.1pt;height:11pt;width:8.6pt;mso-position-horizontal-relative:page;mso-position-vertical-relative:page;z-index:-251656192;mso-width-relative:page;mso-height-relative:page;" filled="f" stroked="f" coordsize="21600,21600" o:gfxdata="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IlNrnaAAAADQEAAA8AAAAAAAAAAQAgAAAAIgAAAGRycy9kb3ducmV2LnhtbFBL&#10;AQIUABQAAAAIAIdO4kARmm3wuwEAAHMDAAAOAAAAAAAAAAEAIAAAACkBAABkcnMvZTJvRG9jLnht&#10;bFBLBQYAAAAABgAGAFkBAABWBQAAAAA=&#10;">
              <v:fill on="f" focussize="0,0"/>
              <v:stroke on="f"/>
              <v:imagedata o:title=""/>
              <o:lock v:ext="edit" aspectratio="f"/>
              <v:textbox inset="0mm,0mm,0mm,0mm">
                <w:txbxContent>
                  <w:p w14:paraId="679F99E2">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C29DB">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3860800</wp:posOffset>
              </wp:positionH>
              <wp:positionV relativeFrom="page">
                <wp:posOffset>9932670</wp:posOffset>
              </wp:positionV>
              <wp:extent cx="167005" cy="1397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68297C9">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304pt;margin-top:782.1pt;height:11pt;width:13.15pt;mso-position-horizontal-relative:page;mso-position-vertical-relative:page;z-index:-251655168;mso-width-relative:page;mso-height-relative:page;" filled="f" stroked="f" coordsize="21600,21600" o:gfxdata="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3XgddoAAAANAQAADwAAAAAAAAABACAAAAAiAAAAZHJzL2Rvd25yZXYueG1sUEsBAhQA&#10;FAAAAAgAh07iQDr1lmK3AQAAcwMAAA4AAAAAAAAAAQAgAAAAKQEAAGRycy9lMm9Eb2MueG1sUEsF&#10;BgAAAAAGAAYAWQEAAFIFAAAAAA==&#10;">
              <v:fill on="f" focussize="0,0"/>
              <v:stroke on="f"/>
              <v:imagedata o:title=""/>
              <o:lock v:ext="edit" aspectratio="f"/>
              <v:textbox inset="0mm,0mm,0mm,0mm">
                <w:txbxContent>
                  <w:p w14:paraId="768297C9">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DBBF7">
    <w:pPr>
      <w:pStyle w:val="4"/>
      <w:spacing w:line="14" w:lineRule="auto"/>
      <w:rPr>
        <w:sz w:val="12"/>
      </w:rPr>
    </w:pPr>
    <w:r>
      <mc:AlternateContent>
        <mc:Choice Requires="wps">
          <w:drawing>
            <wp:anchor distT="0" distB="0" distL="114300" distR="114300" simplePos="0" relativeHeight="251662336" behindDoc="1" locked="0" layoutInCell="1" allowOverlap="1">
              <wp:simplePos x="0" y="0"/>
              <wp:positionH relativeFrom="page">
                <wp:posOffset>3860800</wp:posOffset>
              </wp:positionH>
              <wp:positionV relativeFrom="page">
                <wp:posOffset>9932670</wp:posOffset>
              </wp:positionV>
              <wp:extent cx="167005" cy="1397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5E7271C2">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304pt;margin-top:782.1pt;height:11pt;width:13.15pt;mso-position-horizontal-relative:page;mso-position-vertical-relative:page;z-index:-251654144;mso-width-relative:page;mso-height-relative:page;" filled="f" stroked="f" coordsize="21600,21600" o:gfxdata="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914HXaAAAADQEAAA8AAAAAAAAAAQAgAAAAIgAAAGRycy9kb3ducmV2LnhtbFBLAQIU&#10;ABQAAAAIAIdO4kBQJRrtuAEAAHEDAAAOAAAAAAAAAAEAIAAAACkBAABkcnMvZTJvRG9jLnhtbFBL&#10;BQYAAAAABgAGAFkBAABTBQAAAAA=&#10;">
              <v:fill on="f" focussize="0,0"/>
              <v:stroke on="f"/>
              <v:imagedata o:title=""/>
              <o:lock v:ext="edit" aspectratio="f"/>
              <v:textbox inset="0mm,0mm,0mm,0mm">
                <w:txbxContent>
                  <w:p w14:paraId="5E7271C2">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E6697"/>
    <w:multiLevelType w:val="singleLevel"/>
    <w:tmpl w:val="46BE6697"/>
    <w:lvl w:ilvl="0" w:tentative="0">
      <w:start w:val="3"/>
      <w:numFmt w:val="chineseCounting"/>
      <w:suff w:val="space"/>
      <w:lvlText w:val="第%1部分"/>
      <w:lvlJc w:val="left"/>
      <w:pPr>
        <w:ind w:left="2520"/>
      </w:pPr>
      <w:rPr>
        <w:rFonts w:hint="eastAsia"/>
      </w:rPr>
    </w:lvl>
  </w:abstractNum>
  <w:abstractNum w:abstractNumId="1">
    <w:nsid w:val="4838FDF8"/>
    <w:multiLevelType w:val="singleLevel"/>
    <w:tmpl w:val="4838FDF8"/>
    <w:lvl w:ilvl="0" w:tentative="0">
      <w:start w:val="2"/>
      <w:numFmt w:val="chineseCounting"/>
      <w:suff w:val="space"/>
      <w:lvlText w:val="第%1部分"/>
      <w:lvlJc w:val="left"/>
      <w:rPr>
        <w:rFonts w:hint="eastAsia"/>
      </w:rPr>
    </w:lvl>
  </w:abstractNum>
  <w:abstractNum w:abstractNumId="2">
    <w:nsid w:val="57F7BAF5"/>
    <w:multiLevelType w:val="singleLevel"/>
    <w:tmpl w:val="57F7BAF5"/>
    <w:lvl w:ilvl="0" w:tentative="0">
      <w:start w:val="1"/>
      <w:numFmt w:val="chineseCounting"/>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NGZkNDA0NmUwMTcwMGVlNzg4ODVhZmVjZTE5Y2MifQ=="/>
  </w:docVars>
  <w:rsids>
    <w:rsidRoot w:val="4EE02B9B"/>
    <w:rsid w:val="0049598F"/>
    <w:rsid w:val="06391B26"/>
    <w:rsid w:val="06506B18"/>
    <w:rsid w:val="07CA0442"/>
    <w:rsid w:val="0B244921"/>
    <w:rsid w:val="10BE2E9B"/>
    <w:rsid w:val="12A57F75"/>
    <w:rsid w:val="165A106E"/>
    <w:rsid w:val="16EB688A"/>
    <w:rsid w:val="17E43385"/>
    <w:rsid w:val="1A07140F"/>
    <w:rsid w:val="1A6C4519"/>
    <w:rsid w:val="1C8036FB"/>
    <w:rsid w:val="21893052"/>
    <w:rsid w:val="22A25495"/>
    <w:rsid w:val="22F34C27"/>
    <w:rsid w:val="25C428AA"/>
    <w:rsid w:val="28555138"/>
    <w:rsid w:val="291E1B72"/>
    <w:rsid w:val="2BF11F1F"/>
    <w:rsid w:val="2C4464F3"/>
    <w:rsid w:val="37403D5B"/>
    <w:rsid w:val="3ABC194A"/>
    <w:rsid w:val="3B4414C7"/>
    <w:rsid w:val="3B716190"/>
    <w:rsid w:val="3B8406BA"/>
    <w:rsid w:val="40DE261A"/>
    <w:rsid w:val="418D5DEE"/>
    <w:rsid w:val="42B93B1E"/>
    <w:rsid w:val="44FF34A7"/>
    <w:rsid w:val="45A831F7"/>
    <w:rsid w:val="45EA1A61"/>
    <w:rsid w:val="46670B8F"/>
    <w:rsid w:val="47484C91"/>
    <w:rsid w:val="479954ED"/>
    <w:rsid w:val="482C628C"/>
    <w:rsid w:val="4D565C2E"/>
    <w:rsid w:val="4DDA7481"/>
    <w:rsid w:val="4EC82D90"/>
    <w:rsid w:val="4EE02B9B"/>
    <w:rsid w:val="4FCD042A"/>
    <w:rsid w:val="506E70BC"/>
    <w:rsid w:val="51926619"/>
    <w:rsid w:val="53546BAD"/>
    <w:rsid w:val="549C661D"/>
    <w:rsid w:val="56530F5D"/>
    <w:rsid w:val="570F30D6"/>
    <w:rsid w:val="571B7CCD"/>
    <w:rsid w:val="59950AB9"/>
    <w:rsid w:val="5DBF512A"/>
    <w:rsid w:val="5E993BCD"/>
    <w:rsid w:val="5F7B687A"/>
    <w:rsid w:val="5F8430E2"/>
    <w:rsid w:val="5FB03FB5"/>
    <w:rsid w:val="611F2AAF"/>
    <w:rsid w:val="619C5EAE"/>
    <w:rsid w:val="620F6680"/>
    <w:rsid w:val="62E55633"/>
    <w:rsid w:val="641B68ED"/>
    <w:rsid w:val="65D914DE"/>
    <w:rsid w:val="6B3A097D"/>
    <w:rsid w:val="6C3A254B"/>
    <w:rsid w:val="6D8A5618"/>
    <w:rsid w:val="6F6874E4"/>
    <w:rsid w:val="72C94E9A"/>
    <w:rsid w:val="745F402D"/>
    <w:rsid w:val="7C136915"/>
    <w:rsid w:val="7D3426D0"/>
    <w:rsid w:val="7F6F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spacing w:line="947" w:lineRule="exact"/>
      <w:ind w:left="34"/>
      <w:jc w:val="center"/>
      <w:outlineLvl w:val="0"/>
    </w:pPr>
    <w:rPr>
      <w:rFonts w:ascii="Microsoft JhengHei" w:hAnsi="Microsoft JhengHei" w:eastAsia="Microsoft JhengHei" w:cs="Microsoft JhengHei"/>
      <w:b/>
      <w:bCs/>
      <w:sz w:val="52"/>
      <w:szCs w:val="52"/>
    </w:rPr>
  </w:style>
  <w:style w:type="paragraph" w:styleId="3">
    <w:name w:val="heading 2"/>
    <w:basedOn w:val="1"/>
    <w:next w:val="1"/>
    <w:qFormat/>
    <w:uiPriority w:val="1"/>
    <w:pPr>
      <w:spacing w:line="510" w:lineRule="exact"/>
      <w:ind w:left="2440"/>
      <w:outlineLvl w:val="1"/>
    </w:pPr>
    <w:rPr>
      <w:rFonts w:ascii="Microsoft JhengHei" w:hAnsi="Microsoft JhengHei" w:eastAsia="Microsoft JhengHei" w:cs="Microsoft JhengHei"/>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customStyle="1" w:styleId="7">
    <w:name w:val="Table Paragraph"/>
    <w:basedOn w:val="1"/>
    <w:qFormat/>
    <w:uiPriority w:val="1"/>
    <w:pPr>
      <w:spacing w:before="107"/>
      <w:ind w:left="9" w:right="1466"/>
      <w:jc w:val="center"/>
    </w:pPr>
    <w:rPr>
      <w:rFonts w:ascii="宋体" w:hAnsi="宋体" w:eastAsia="宋体" w:cs="宋体"/>
    </w:rPr>
  </w:style>
  <w:style w:type="paragraph" w:styleId="8">
    <w:name w:val="List Paragraph"/>
    <w:basedOn w:val="1"/>
    <w:qFormat/>
    <w:uiPriority w:val="1"/>
    <w:pPr>
      <w:spacing w:line="547" w:lineRule="exact"/>
      <w:ind w:left="2680" w:hanging="241"/>
    </w:pPr>
    <w:rPr>
      <w:rFonts w:ascii="Microsoft JhengHei" w:hAnsi="Microsoft JhengHei" w:eastAsia="Microsoft JhengHei" w:cs="Microsoft JhengHei"/>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chart" Target="charts/chart4.xml"/><Relationship Id="rId18" Type="http://schemas.openxmlformats.org/officeDocument/2006/relationships/chart" Target="charts/chart3.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8600225004016019--&#21776;&#23665;&#39640;&#26032;&#25216;&#26415;&#20135;&#19994;&#24320;&#21457;&#21306;&#28040;&#38450;&#25937;&#25588;&#22823;&#38431;(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8600225004016019--&#21776;&#23665;&#39640;&#26032;&#25216;&#26415;&#20135;&#19994;&#24320;&#21457;&#21306;&#28040;&#38450;&#25937;&#25588;&#22823;&#38431;(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9525"/>
          </c:spPr>
          <c:explosion val="0"/>
          <c:dPt>
            <c:idx val="0"/>
            <c:bubble3D val="0"/>
            <c:spPr>
              <a:solidFill>
                <a:schemeClr val="accent1"/>
              </a:solidFill>
              <a:ln>
                <a:solidFill>
                  <a:schemeClr val="bg1"/>
                </a:solidFill>
              </a:ln>
              <a:effectLst/>
              <a:scene3d>
                <a:camera prst="orthographicFront"/>
                <a:lightRig rig="threePt" dir="t"/>
              </a:scene3d>
              <a:sp3d contourW="9525"/>
            </c:spPr>
          </c:dPt>
          <c:dPt>
            <c:idx val="1"/>
            <c:bubble3D val="0"/>
            <c:spPr>
              <a:solidFill>
                <a:schemeClr val="accent2"/>
              </a:solidFill>
              <a:ln>
                <a:solidFill>
                  <a:schemeClr val="bg1"/>
                </a:solidFill>
              </a:ln>
              <a:effectLst/>
              <a:scene3d>
                <a:camera prst="orthographicFront"/>
                <a:lightRig rig="threePt" dir="t"/>
              </a:scene3d>
              <a:sp3d contourW="9525"/>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财政拨款收入</a:t>
                    </a:r>
                    <a:r>
                      <a:rPr lang="en-US" altLang="zh-CN"/>
                      <a:t>0.93</a:t>
                    </a:r>
                    <a:r>
                      <a:t>%</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其他收入</a:t>
                    </a:r>
                    <a:r>
                      <a:rPr lang="en-US" altLang="zh-CN"/>
                      <a:t>99.07</a:t>
                    </a:r>
                    <a:r>
                      <a:t>%</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'[8600225004016019--唐山高新技术产业开发区消防救援大队(1).xlsx]Sheet1'!$A$1:$A$2</c:f>
              <c:numCache>
                <c:formatCode>0.00%</c:formatCode>
                <c:ptCount val="2"/>
                <c:pt idx="0">
                  <c:v>0.0305</c:v>
                </c:pt>
                <c:pt idx="1">
                  <c:v>0.9695</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extLst>
      <c:ext uri="{0b15fc19-7d7d-44ad-8c2d-2c3a37ce22c3}">
        <chartProps xmlns="https://web.wps.cn/et/2018/main" chartId="{94a14d9d-7785-4fca-a20a-cbe5702f7cd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9525"/>
          </c:spPr>
          <c:explosion val="0"/>
          <c:dPt>
            <c:idx val="0"/>
            <c:bubble3D val="0"/>
            <c:spPr>
              <a:solidFill>
                <a:schemeClr val="accent1"/>
              </a:solidFill>
              <a:ln>
                <a:solidFill>
                  <a:schemeClr val="bg1"/>
                </a:solidFill>
              </a:ln>
              <a:effectLst/>
              <a:scene3d>
                <a:camera prst="orthographicFront"/>
                <a:lightRig rig="threePt" dir="t"/>
              </a:scene3d>
              <a:sp3d contourW="9525"/>
            </c:spPr>
          </c:dPt>
          <c:dPt>
            <c:idx val="1"/>
            <c:bubble3D val="0"/>
            <c:spPr>
              <a:solidFill>
                <a:schemeClr val="accent2"/>
              </a:solidFill>
              <a:ln>
                <a:solidFill>
                  <a:schemeClr val="bg1"/>
                </a:solidFill>
              </a:ln>
              <a:effectLst/>
              <a:scene3d>
                <a:camera prst="orthographicFront"/>
                <a:lightRig rig="threePt" dir="t"/>
              </a:scene3d>
              <a:sp3d contourW="9525"/>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基本支出</a:t>
                    </a:r>
                    <a:r>
                      <a:rPr lang="en-US" altLang="zh-CN"/>
                      <a:t>0.3</a:t>
                    </a:r>
                    <a:r>
                      <a:t>%</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项目支出</a:t>
                    </a:r>
                    <a:r>
                      <a:rPr lang="en-US" altLang="zh-CN"/>
                      <a:t>99.70</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52105263157895"/>
                      <c:h val="0.0958333333333333"/>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'[8600225004016019--唐山高新技术产业开发区消防救援大队(1).xlsx]Sheet1'!$A$1:$A$2</c:f>
              <c:numCache>
                <c:formatCode>0.00%</c:formatCode>
                <c:ptCount val="2"/>
                <c:pt idx="0">
                  <c:v>0.0162</c:v>
                </c:pt>
                <c:pt idx="1">
                  <c:v>0.9838</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extLst>
      <c:ext uri="{0b15fc19-7d7d-44ad-8c2d-2c3a37ce22c3}">
        <chartProps xmlns="https://web.wps.cn/et/2018/main" chartId="{7b62e5fa-8d88-44e8-8d40-55e81684ff3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14.23</c:v>
                </c:pt>
                <c:pt idx="1">
                  <c:v>11.74</c:v>
                </c:pt>
              </c:numCache>
            </c:numRef>
          </c:val>
        </c:ser>
        <c:dLbls>
          <c:showLegendKey val="0"/>
          <c:showVal val="1"/>
          <c:showCatName val="0"/>
          <c:showSerName val="0"/>
          <c:showPercent val="0"/>
          <c:showBubbleSize val="0"/>
        </c:dLbls>
        <c:gapWidth val="260"/>
        <c:overlap val="-32"/>
        <c:axId val="355594469"/>
        <c:axId val="661485719"/>
      </c:barChart>
      <c:catAx>
        <c:axId val="35559446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1485719"/>
        <c:crosses val="autoZero"/>
        <c:auto val="1"/>
        <c:lblAlgn val="ctr"/>
        <c:lblOffset val="100"/>
        <c:noMultiLvlLbl val="0"/>
      </c:catAx>
      <c:valAx>
        <c:axId val="661485719"/>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5594469"/>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13.49</c:v>
                </c:pt>
                <c:pt idx="1">
                  <c:v>11.74</c:v>
                </c:pt>
              </c:numCache>
            </c:numRef>
          </c:val>
        </c:ser>
        <c:dLbls>
          <c:showLegendKey val="0"/>
          <c:showVal val="1"/>
          <c:showCatName val="0"/>
          <c:showSerName val="0"/>
          <c:showPercent val="0"/>
          <c:showBubbleSize val="0"/>
        </c:dLbls>
        <c:gapWidth val="246"/>
        <c:overlap val="-28"/>
        <c:axId val="332076110"/>
        <c:axId val="374583759"/>
      </c:barChart>
      <c:catAx>
        <c:axId val="3320761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4583759"/>
        <c:crosses val="autoZero"/>
        <c:auto val="1"/>
        <c:lblAlgn val="ctr"/>
        <c:lblOffset val="100"/>
        <c:noMultiLvlLbl val="0"/>
      </c:catAx>
      <c:valAx>
        <c:axId val="37458375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2076110"/>
        <c:crosses val="autoZero"/>
        <c:crossBetween val="between"/>
      </c:valAx>
      <c:spPr>
        <a:noFill/>
        <a:ln>
          <a:noFill/>
        </a:ln>
        <a:effectLst/>
      </c:spPr>
    </c:plotArea>
    <c:plotVisOnly val="1"/>
    <c:dispBlanksAs val="gap"/>
    <c:showDLblsOverMax val="0"/>
    <c:extLst>
      <c:ext uri="{0b15fc19-7d7d-44ad-8c2d-2c3a37ce22c3}">
        <chartProps xmlns="https://web.wps.cn/et/2018/main" chartId="{4186e4f8-2453-421a-aefc-1dfc6827911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9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9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3835</Words>
  <Characters>4067</Characters>
  <Lines>0</Lines>
  <Paragraphs>0</Paragraphs>
  <TotalTime>1</TotalTime>
  <ScaleCrop>false</ScaleCrop>
  <LinksUpToDate>false</LinksUpToDate>
  <CharactersWithSpaces>4152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2024-10-21T01:14:00Z</dcterms:created>
  <dc:creator>Administrator</dc:creator>
  <cp:lastModifiedBy>胭脂落</cp:lastModifiedBy>
  <dcterms:modified xsi:type="dcterms:W3CDTF">2024-10-21T10:50:08Z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446FB0D6C245412C89652DF97F225E8A_11</vt:lpwstr>
  </property>
</Properties>
</file>